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5DE821" w14:textId="77777777" w:rsidR="00CF2D94" w:rsidRPr="00CF2D94" w:rsidRDefault="00BE75BB" w:rsidP="00627B0D">
      <w:pPr>
        <w:pStyle w:val="AEMCHEADERL1"/>
        <w:outlineLvl w:val="0"/>
      </w:pPr>
      <w:r>
        <w:t>A</w:t>
      </w:r>
      <w:r w:rsidR="005E638A">
        <w:t>TTACHMENT 1</w:t>
      </w:r>
    </w:p>
    <w:p w14:paraId="619F10D4" w14:textId="77777777" w:rsidR="00CF2D94" w:rsidRPr="00F73126" w:rsidRDefault="005E638A" w:rsidP="00627B0D">
      <w:pPr>
        <w:pStyle w:val="AEMCHeaderL2"/>
        <w:outlineLvl w:val="0"/>
        <w:rPr>
          <w:szCs w:val="36"/>
        </w:rPr>
      </w:pPr>
      <w:r>
        <w:t>stakeholder feedback template</w:t>
      </w:r>
    </w:p>
    <w:p w14:paraId="2E5582DD" w14:textId="186F5C7D" w:rsidR="00DD38E0" w:rsidRDefault="008C6A18" w:rsidP="000C745C">
      <w:pPr>
        <w:pStyle w:val="AEMCBodyCopyIntroPara"/>
        <w:rPr>
          <w:rStyle w:val="Hyperlink"/>
        </w:rPr>
      </w:pPr>
      <w:r w:rsidRPr="008C6A18">
        <w:rPr>
          <w:rStyle w:val="Hyperlink"/>
        </w:rPr>
        <w:t>The template below has been developed to enable stakeholders to provide their feedback on the questions posed in this paper and any other issues that they would like to provide feedback on. The AEMC encourages stakeholders to use this template to assist it to consider the views expressed by stakeholders on each issue. Stakeholders should not feel obliged to answer each question, but rather address those issues of particular interest or concern. Further context for the questions can be found in the consultation paper.</w:t>
      </w:r>
      <w:r w:rsidR="00C66FB7">
        <w:rPr>
          <w:rStyle w:val="Hyperlink"/>
        </w:rPr>
        <w:t xml:space="preserve"> Stakeholders are also encouraged to </w:t>
      </w:r>
      <w:r w:rsidR="00BB01AD">
        <w:rPr>
          <w:rStyle w:val="Hyperlink"/>
        </w:rPr>
        <w:t xml:space="preserve">provide evidence to support claims where possible. </w:t>
      </w:r>
    </w:p>
    <w:p w14:paraId="218A16B4" w14:textId="77777777" w:rsidR="008C6A18" w:rsidRPr="004E4060" w:rsidRDefault="008C6A18" w:rsidP="004E4060">
      <w:pPr>
        <w:pStyle w:val="AEMCHeaderL3"/>
        <w:rPr>
          <w:rStyle w:val="Hyperlink"/>
        </w:rPr>
      </w:pPr>
      <w:r w:rsidRPr="004E4060">
        <w:rPr>
          <w:rStyle w:val="Hyperlink"/>
        </w:rPr>
        <w:t>SUBMITTER DETAILS</w:t>
      </w:r>
    </w:p>
    <w:tbl>
      <w:tblPr>
        <w:tblStyle w:val="TableGrid"/>
        <w:tblW w:w="14599" w:type="dxa"/>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0" w:type="dxa"/>
          <w:right w:w="0" w:type="dxa"/>
        </w:tblCellMar>
        <w:tblLook w:val="04A0" w:firstRow="1" w:lastRow="0" w:firstColumn="1" w:lastColumn="0" w:noHBand="0" w:noVBand="1"/>
      </w:tblPr>
      <w:tblGrid>
        <w:gridCol w:w="1560"/>
        <w:gridCol w:w="13039"/>
      </w:tblGrid>
      <w:tr w:rsidR="009E7726" w:rsidRPr="00A85F9E" w14:paraId="0E4E8C04" w14:textId="77777777" w:rsidTr="009E7726">
        <w:tc>
          <w:tcPr>
            <w:tcW w:w="1560" w:type="dxa"/>
          </w:tcPr>
          <w:p w14:paraId="4995B6A1" w14:textId="77777777" w:rsidR="008C6A18" w:rsidRPr="00780BB3" w:rsidRDefault="000C745C" w:rsidP="000C745C">
            <w:pPr>
              <w:pStyle w:val="AEMCTableCopySubmitterDetails"/>
              <w:rPr>
                <w:rStyle w:val="Hyperlink"/>
                <w:b/>
              </w:rPr>
            </w:pPr>
            <w:r w:rsidRPr="00780BB3">
              <w:rPr>
                <w:rStyle w:val="Hyperlink"/>
                <w:b/>
              </w:rPr>
              <w:t>ORGANISATION:</w:t>
            </w:r>
          </w:p>
        </w:tc>
        <w:tc>
          <w:tcPr>
            <w:tcW w:w="13039" w:type="dxa"/>
          </w:tcPr>
          <w:p w14:paraId="0F8C2405" w14:textId="77777777" w:rsidR="008C6A18" w:rsidRPr="00785222" w:rsidRDefault="00712806" w:rsidP="009E7726">
            <w:pPr>
              <w:pStyle w:val="AEMCTableCopySubmitterDetails"/>
              <w:tabs>
                <w:tab w:val="left" w:pos="5727"/>
              </w:tabs>
              <w:rPr>
                <w:rStyle w:val="Hyperlink"/>
              </w:rPr>
            </w:pPr>
            <w:r w:rsidRPr="00785222">
              <w:rPr>
                <w:rStyle w:val="Hyperlink"/>
              </w:rPr>
              <w:fldChar w:fldCharType="begin">
                <w:ffData>
                  <w:name w:val="Text1"/>
                  <w:enabled/>
                  <w:calcOnExit w:val="0"/>
                  <w:textInput/>
                </w:ffData>
              </w:fldChar>
            </w:r>
            <w:bookmarkStart w:id="0" w:name="Text1"/>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0"/>
          </w:p>
        </w:tc>
      </w:tr>
      <w:tr w:rsidR="009E7726" w:rsidRPr="00A85F9E" w14:paraId="4E0134D7" w14:textId="77777777" w:rsidTr="009E7726">
        <w:tc>
          <w:tcPr>
            <w:tcW w:w="1560" w:type="dxa"/>
          </w:tcPr>
          <w:p w14:paraId="765E31C4" w14:textId="77777777" w:rsidR="008C6A18" w:rsidRPr="00780BB3" w:rsidRDefault="000C745C" w:rsidP="000C745C">
            <w:pPr>
              <w:pStyle w:val="AEMCTableCopySubmitterDetails"/>
              <w:rPr>
                <w:rStyle w:val="Hyperlink"/>
                <w:b/>
              </w:rPr>
            </w:pPr>
            <w:r w:rsidRPr="00780BB3">
              <w:rPr>
                <w:rStyle w:val="Hyperlink"/>
                <w:b/>
              </w:rPr>
              <w:t>CONTACT NAME:</w:t>
            </w:r>
          </w:p>
        </w:tc>
        <w:tc>
          <w:tcPr>
            <w:tcW w:w="13039" w:type="dxa"/>
          </w:tcPr>
          <w:p w14:paraId="16A834E0" w14:textId="77777777" w:rsidR="008C6A18" w:rsidRPr="00785222" w:rsidRDefault="00712806" w:rsidP="00785222">
            <w:pPr>
              <w:pStyle w:val="AEMCTableCopySubmitterDetails"/>
              <w:rPr>
                <w:rStyle w:val="Hyperlink"/>
              </w:rPr>
            </w:pPr>
            <w:r w:rsidRPr="00785222">
              <w:rPr>
                <w:rStyle w:val="Hyperlink"/>
              </w:rPr>
              <w:fldChar w:fldCharType="begin">
                <w:ffData>
                  <w:name w:val="Text2"/>
                  <w:enabled/>
                  <w:calcOnExit w:val="0"/>
                  <w:textInput/>
                </w:ffData>
              </w:fldChar>
            </w:r>
            <w:bookmarkStart w:id="1" w:name="Text2"/>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1"/>
          </w:p>
        </w:tc>
      </w:tr>
      <w:tr w:rsidR="009E7726" w:rsidRPr="00A85F9E" w14:paraId="377D784D" w14:textId="77777777" w:rsidTr="009E7726">
        <w:tc>
          <w:tcPr>
            <w:tcW w:w="1560" w:type="dxa"/>
          </w:tcPr>
          <w:p w14:paraId="1F54F02D" w14:textId="77777777" w:rsidR="008C6A18" w:rsidRPr="00780BB3" w:rsidRDefault="000C745C" w:rsidP="000C745C">
            <w:pPr>
              <w:pStyle w:val="AEMCTableCopySubmitterDetails"/>
              <w:rPr>
                <w:rStyle w:val="Hyperlink"/>
                <w:b/>
              </w:rPr>
            </w:pPr>
            <w:r w:rsidRPr="00780BB3">
              <w:rPr>
                <w:rStyle w:val="Hyperlink"/>
                <w:b/>
              </w:rPr>
              <w:t>EMAIL:</w:t>
            </w:r>
          </w:p>
        </w:tc>
        <w:tc>
          <w:tcPr>
            <w:tcW w:w="13039" w:type="dxa"/>
          </w:tcPr>
          <w:p w14:paraId="188EC08C" w14:textId="77777777" w:rsidR="008C6A18" w:rsidRPr="00785222" w:rsidRDefault="00712806" w:rsidP="00785222">
            <w:pPr>
              <w:pStyle w:val="AEMCTableCopySubmitterDetails"/>
              <w:rPr>
                <w:rStyle w:val="Hyperlink"/>
              </w:rPr>
            </w:pPr>
            <w:r w:rsidRPr="00785222">
              <w:rPr>
                <w:rStyle w:val="Hyperlink"/>
              </w:rPr>
              <w:fldChar w:fldCharType="begin">
                <w:ffData>
                  <w:name w:val="Text3"/>
                  <w:enabled/>
                  <w:calcOnExit w:val="0"/>
                  <w:textInput/>
                </w:ffData>
              </w:fldChar>
            </w:r>
            <w:bookmarkStart w:id="2" w:name="Text3"/>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2"/>
          </w:p>
        </w:tc>
      </w:tr>
      <w:tr w:rsidR="009E7726" w:rsidRPr="00A85F9E" w14:paraId="195B3E40" w14:textId="77777777" w:rsidTr="009E7726">
        <w:tc>
          <w:tcPr>
            <w:tcW w:w="1560" w:type="dxa"/>
          </w:tcPr>
          <w:p w14:paraId="637CF9B6" w14:textId="77777777" w:rsidR="008C6A18" w:rsidRPr="00780BB3" w:rsidRDefault="000C745C" w:rsidP="000C745C">
            <w:pPr>
              <w:pStyle w:val="AEMCTableCopySubmitterDetails"/>
              <w:rPr>
                <w:rStyle w:val="Hyperlink"/>
                <w:b/>
              </w:rPr>
            </w:pPr>
            <w:r w:rsidRPr="00780BB3">
              <w:rPr>
                <w:rStyle w:val="Hyperlink"/>
                <w:b/>
              </w:rPr>
              <w:t>PHONE:</w:t>
            </w:r>
          </w:p>
        </w:tc>
        <w:tc>
          <w:tcPr>
            <w:tcW w:w="13039" w:type="dxa"/>
          </w:tcPr>
          <w:p w14:paraId="4C84AFDB" w14:textId="77777777" w:rsidR="008C6A18" w:rsidRPr="00785222" w:rsidRDefault="00712806" w:rsidP="00785222">
            <w:pPr>
              <w:pStyle w:val="AEMCTableCopySubmitterDetails"/>
              <w:rPr>
                <w:rStyle w:val="Hyperlink"/>
              </w:rPr>
            </w:pPr>
            <w:r w:rsidRPr="00785222">
              <w:rPr>
                <w:rStyle w:val="Hyperlink"/>
              </w:rPr>
              <w:fldChar w:fldCharType="begin">
                <w:ffData>
                  <w:name w:val="Text4"/>
                  <w:enabled/>
                  <w:calcOnExit w:val="0"/>
                  <w:textInput/>
                </w:ffData>
              </w:fldChar>
            </w:r>
            <w:bookmarkStart w:id="3" w:name="Text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3"/>
          </w:p>
        </w:tc>
      </w:tr>
    </w:tbl>
    <w:p w14:paraId="6FE06CE3" w14:textId="77777777" w:rsidR="00705380" w:rsidRDefault="00705380" w:rsidP="008A4886">
      <w:pPr>
        <w:pStyle w:val="AEMCHeaderL4"/>
        <w:rPr>
          <w:rStyle w:val="Hyperlink"/>
          <w:b/>
        </w:rPr>
      </w:pPr>
    </w:p>
    <w:p w14:paraId="11000F15" w14:textId="77777777" w:rsidR="00705380" w:rsidRDefault="00705380" w:rsidP="008A4886">
      <w:pPr>
        <w:pStyle w:val="AEMCHeaderL4"/>
        <w:rPr>
          <w:rStyle w:val="Hyperlink"/>
          <w:b/>
        </w:rPr>
      </w:pPr>
    </w:p>
    <w:p w14:paraId="5D9DAB32" w14:textId="77777777" w:rsidR="00705380" w:rsidRDefault="00705380" w:rsidP="008A4886">
      <w:pPr>
        <w:pStyle w:val="AEMCHeaderL4"/>
        <w:rPr>
          <w:rStyle w:val="Hyperlink"/>
          <w:b/>
        </w:rPr>
      </w:pPr>
    </w:p>
    <w:p w14:paraId="7798E458" w14:textId="77777777" w:rsidR="00705380" w:rsidRDefault="00705380" w:rsidP="008A4886">
      <w:pPr>
        <w:pStyle w:val="AEMCHeaderL4"/>
        <w:rPr>
          <w:rStyle w:val="Hyperlink"/>
          <w:b/>
        </w:rPr>
      </w:pPr>
    </w:p>
    <w:p w14:paraId="3B496FF8" w14:textId="77777777" w:rsidR="00705380" w:rsidRDefault="00705380" w:rsidP="008A4886">
      <w:pPr>
        <w:pStyle w:val="AEMCHeaderL4"/>
        <w:rPr>
          <w:rStyle w:val="Hyperlink"/>
          <w:b/>
        </w:rPr>
      </w:pPr>
    </w:p>
    <w:p w14:paraId="7C9709EF" w14:textId="77777777" w:rsidR="00705380" w:rsidRDefault="00705380" w:rsidP="008A4886">
      <w:pPr>
        <w:pStyle w:val="AEMCHeaderL4"/>
        <w:rPr>
          <w:rStyle w:val="Hyperlink"/>
          <w:b/>
        </w:rPr>
      </w:pPr>
    </w:p>
    <w:p w14:paraId="5C6FE0FC" w14:textId="0B595177" w:rsidR="00A85F9E" w:rsidRPr="008A4886" w:rsidRDefault="008A4886" w:rsidP="008A4886">
      <w:pPr>
        <w:pStyle w:val="AEMCHeaderL4"/>
        <w:rPr>
          <w:rStyle w:val="Hyperlink"/>
        </w:rPr>
      </w:pPr>
      <w:r w:rsidRPr="008A4886">
        <w:rPr>
          <w:rStyle w:val="Hyperlink"/>
          <w:b/>
        </w:rPr>
        <w:lastRenderedPageBreak/>
        <w:t xml:space="preserve">CHAPTER </w:t>
      </w:r>
      <w:r w:rsidR="005E0B40">
        <w:rPr>
          <w:rStyle w:val="Hyperlink"/>
          <w:b/>
        </w:rPr>
        <w:t>4</w:t>
      </w:r>
      <w:r w:rsidRPr="008A4886">
        <w:rPr>
          <w:rStyle w:val="Hyperlink"/>
        </w:rPr>
        <w:t xml:space="preserve"> – </w:t>
      </w:r>
      <w:r w:rsidR="00DD0B3D">
        <w:rPr>
          <w:rStyle w:val="Hyperlink"/>
        </w:rPr>
        <w:t xml:space="preserve">sECTION </w:t>
      </w:r>
      <w:r w:rsidR="005E0B40">
        <w:rPr>
          <w:rStyle w:val="Hyperlink"/>
        </w:rPr>
        <w:t>4</w:t>
      </w:r>
      <w:r w:rsidR="00F72FFE">
        <w:rPr>
          <w:rStyle w:val="Hyperlink"/>
        </w:rPr>
        <w:t>.</w:t>
      </w:r>
      <w:r w:rsidR="00DD4A75">
        <w:rPr>
          <w:rStyle w:val="Hyperlink"/>
        </w:rPr>
        <w:t>1</w:t>
      </w:r>
      <w:r w:rsidR="00DD0B3D">
        <w:rPr>
          <w:rStyle w:val="Hyperlink"/>
        </w:rPr>
        <w:t xml:space="preserve"> </w:t>
      </w:r>
      <w:r w:rsidR="00052A04">
        <w:rPr>
          <w:rStyle w:val="Hyperlink"/>
        </w:rPr>
        <w:t>–</w:t>
      </w:r>
      <w:r w:rsidR="00DD0B3D">
        <w:rPr>
          <w:rStyle w:val="Hyperlink"/>
        </w:rPr>
        <w:t xml:space="preserve"> </w:t>
      </w:r>
      <w:r w:rsidR="0025621E" w:rsidRPr="0025621E">
        <w:rPr>
          <w:lang w:val="en-AU"/>
        </w:rPr>
        <w:t>The problem - impact of COVID-19 on the retail electricity market</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052A04" w:rsidRPr="0000465F" w14:paraId="4D2E8330" w14:textId="77777777" w:rsidTr="00052A04">
        <w:trPr>
          <w:trHeight w:val="567"/>
        </w:trPr>
        <w:tc>
          <w:tcPr>
            <w:tcW w:w="14626" w:type="dxa"/>
            <w:gridSpan w:val="2"/>
            <w:tcBorders>
              <w:top w:val="single" w:sz="18" w:space="0" w:color="00A8E5" w:themeColor="accent1"/>
            </w:tcBorders>
            <w:shd w:val="clear" w:color="auto" w:fill="F6F6F6"/>
            <w:vAlign w:val="center"/>
          </w:tcPr>
          <w:p w14:paraId="4B17052E" w14:textId="0DF9ADB5" w:rsidR="00052A04" w:rsidRPr="00052A04" w:rsidRDefault="0011699D" w:rsidP="0011699D">
            <w:pPr>
              <w:pStyle w:val="AEMCTableBodyCopyNumbers"/>
              <w:numPr>
                <w:ilvl w:val="0"/>
                <w:numId w:val="0"/>
              </w:numPr>
              <w:ind w:left="284" w:hanging="284"/>
              <w:rPr>
                <w:rStyle w:val="Hyperlink"/>
                <w:b/>
              </w:rPr>
            </w:pPr>
            <w:r>
              <w:rPr>
                <w:b/>
              </w:rPr>
              <w:t xml:space="preserve">Question 1 </w:t>
            </w:r>
            <w:r w:rsidR="005E0B40">
              <w:rPr>
                <w:b/>
              </w:rPr>
              <w:t>–</w:t>
            </w:r>
            <w:r>
              <w:rPr>
                <w:b/>
              </w:rPr>
              <w:t xml:space="preserve"> </w:t>
            </w:r>
            <w:r w:rsidR="0025621E">
              <w:rPr>
                <w:b/>
              </w:rPr>
              <w:t>Impact of COVID-19 on retailers</w:t>
            </w:r>
          </w:p>
        </w:tc>
      </w:tr>
      <w:tr w:rsidR="009E7726" w:rsidRPr="0000465F" w14:paraId="05437FE7" w14:textId="77777777" w:rsidTr="00052A04">
        <w:trPr>
          <w:trHeight w:val="850"/>
        </w:trPr>
        <w:tc>
          <w:tcPr>
            <w:tcW w:w="4535" w:type="dxa"/>
            <w:tcBorders>
              <w:right w:val="single" w:sz="2" w:space="0" w:color="58595B" w:themeColor="accent4"/>
            </w:tcBorders>
            <w:shd w:val="clear" w:color="auto" w:fill="F6F6F6"/>
            <w:vAlign w:val="center"/>
          </w:tcPr>
          <w:p w14:paraId="0C6B9B3D" w14:textId="5FF1D3DD" w:rsidR="008A4886" w:rsidRPr="0011699D" w:rsidRDefault="0025621E" w:rsidP="0011699D">
            <w:pPr>
              <w:pStyle w:val="AEMCTableBodyCopyNumbers"/>
              <w:rPr>
                <w:rStyle w:val="Hyperlink"/>
                <w:lang w:val="en-AU"/>
              </w:rPr>
            </w:pPr>
            <w:r w:rsidRPr="0025621E">
              <w:t>What is the expected impact of COVID-19 on retailers' cash flows? How material is this impact? How long are these cash flow impacts expected to last?</w:t>
            </w:r>
          </w:p>
        </w:tc>
        <w:tc>
          <w:tcPr>
            <w:tcW w:w="10091" w:type="dxa"/>
            <w:tcBorders>
              <w:left w:val="single" w:sz="2" w:space="0" w:color="58595B" w:themeColor="accent4"/>
            </w:tcBorders>
            <w:vAlign w:val="center"/>
          </w:tcPr>
          <w:p w14:paraId="172F1BA0" w14:textId="77777777" w:rsidR="008A4886" w:rsidRPr="00785222" w:rsidRDefault="00712806" w:rsidP="00052A04">
            <w:pPr>
              <w:pStyle w:val="AEMCTableBodyCopy"/>
              <w:rPr>
                <w:rStyle w:val="Hyperlink"/>
              </w:rPr>
            </w:pPr>
            <w:r w:rsidRPr="00785222">
              <w:rPr>
                <w:rStyle w:val="Hyperlink"/>
              </w:rPr>
              <w:fldChar w:fldCharType="begin">
                <w:ffData>
                  <w:name w:val="Text6"/>
                  <w:enabled/>
                  <w:calcOnExit w:val="0"/>
                  <w:textInput/>
                </w:ffData>
              </w:fldChar>
            </w:r>
            <w:bookmarkStart w:id="4" w:name="Text6"/>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4"/>
          </w:p>
        </w:tc>
      </w:tr>
      <w:tr w:rsidR="00052A04" w:rsidRPr="0000465F" w14:paraId="25E2C388" w14:textId="77777777" w:rsidTr="00052A04">
        <w:trPr>
          <w:trHeight w:val="850"/>
        </w:trPr>
        <w:tc>
          <w:tcPr>
            <w:tcW w:w="4535" w:type="dxa"/>
            <w:tcBorders>
              <w:right w:val="single" w:sz="2" w:space="0" w:color="58595B" w:themeColor="accent4"/>
            </w:tcBorders>
            <w:shd w:val="clear" w:color="auto" w:fill="F6F6F6"/>
            <w:vAlign w:val="center"/>
          </w:tcPr>
          <w:p w14:paraId="098E6BEE" w14:textId="0248D5DA" w:rsidR="00052A04" w:rsidRPr="00052A04" w:rsidRDefault="0025621E" w:rsidP="0011699D">
            <w:pPr>
              <w:pStyle w:val="AEMCTableBodyCopyNumbers"/>
              <w:rPr>
                <w:rStyle w:val="Hyperlink"/>
              </w:rPr>
            </w:pPr>
            <w:r w:rsidRPr="0025621E">
              <w:t xml:space="preserve">In the absence of the proposed rule change, what options are available to retailers to manage the cash flow impacts of COVID-19? Are existing support schemes that have been announced, including the Network Relief Package, </w:t>
            </w:r>
            <w:proofErr w:type="gramStart"/>
            <w:r w:rsidRPr="0025621E">
              <w:t>sufficient</w:t>
            </w:r>
            <w:proofErr w:type="gramEnd"/>
            <w:r w:rsidRPr="0025621E">
              <w:t xml:space="preserve"> to assist retailers to manage these impacts? If not, what are the areas where further assistance is needed?</w:t>
            </w:r>
          </w:p>
        </w:tc>
        <w:tc>
          <w:tcPr>
            <w:tcW w:w="10091" w:type="dxa"/>
            <w:tcBorders>
              <w:left w:val="single" w:sz="2" w:space="0" w:color="58595B" w:themeColor="accent4"/>
            </w:tcBorders>
            <w:vAlign w:val="center"/>
          </w:tcPr>
          <w:p w14:paraId="37CF46FA" w14:textId="77777777" w:rsidR="00052A04" w:rsidRPr="00785222" w:rsidRDefault="002B679B" w:rsidP="00052A04">
            <w:pPr>
              <w:pStyle w:val="AEMCTableBodyCopy"/>
              <w:rPr>
                <w:rStyle w:val="Hyperlink"/>
              </w:rPr>
            </w:pPr>
            <w:r w:rsidRPr="00785222">
              <w:rPr>
                <w:rStyle w:val="Hyperlink"/>
              </w:rPr>
              <w:fldChar w:fldCharType="begin">
                <w:ffData>
                  <w:name w:val="Text6"/>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bookmarkStart w:id="5" w:name="_GoBack"/>
            <w:bookmarkEnd w:id="5"/>
          </w:p>
        </w:tc>
      </w:tr>
      <w:tr w:rsidR="00052A04" w:rsidRPr="0000465F" w14:paraId="203A5A15" w14:textId="77777777" w:rsidTr="00052A04">
        <w:trPr>
          <w:trHeight w:val="850"/>
        </w:trPr>
        <w:tc>
          <w:tcPr>
            <w:tcW w:w="4535" w:type="dxa"/>
            <w:tcBorders>
              <w:right w:val="single" w:sz="2" w:space="0" w:color="58595B" w:themeColor="accent4"/>
            </w:tcBorders>
            <w:shd w:val="clear" w:color="auto" w:fill="F6F6F6"/>
            <w:vAlign w:val="center"/>
          </w:tcPr>
          <w:p w14:paraId="077402AA" w14:textId="12B5279A" w:rsidR="00052A04" w:rsidRDefault="0025621E" w:rsidP="00052A04">
            <w:pPr>
              <w:pStyle w:val="AEMCTableBodyCopyNumbers"/>
              <w:rPr>
                <w:rStyle w:val="Hyperlink"/>
              </w:rPr>
            </w:pPr>
            <w:r w:rsidRPr="0025621E">
              <w:t>What are the expected impacts of the proposed rule change on any cash flow issues currently being experienced by retailers as a result of COVID-19?</w:t>
            </w:r>
          </w:p>
        </w:tc>
        <w:tc>
          <w:tcPr>
            <w:tcW w:w="10091" w:type="dxa"/>
            <w:tcBorders>
              <w:left w:val="single" w:sz="2" w:space="0" w:color="58595B" w:themeColor="accent4"/>
            </w:tcBorders>
            <w:vAlign w:val="center"/>
          </w:tcPr>
          <w:p w14:paraId="0896E776" w14:textId="77777777" w:rsidR="00052A04" w:rsidRPr="00785222" w:rsidRDefault="00052A04" w:rsidP="00052A04">
            <w:pPr>
              <w:pStyle w:val="AEMCTableBodyCopy"/>
              <w:rPr>
                <w:rStyle w:val="Hyperlink"/>
              </w:rPr>
            </w:pPr>
            <w:r w:rsidRPr="00785222">
              <w:rPr>
                <w:rStyle w:val="Hyperlink"/>
              </w:rPr>
              <w:fldChar w:fldCharType="begin">
                <w:ffData>
                  <w:name w:val="Text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36053E7" w14:textId="7ABAE80D" w:rsidR="00D17ED4" w:rsidRDefault="00D17ED4" w:rsidP="00DD0B3D">
      <w:pPr>
        <w:pStyle w:val="AEMCHeaderL4"/>
        <w:rPr>
          <w:rStyle w:val="Hyperlink"/>
          <w:b/>
        </w:rPr>
      </w:pPr>
    </w:p>
    <w:p w14:paraId="6F65420A" w14:textId="77777777" w:rsidR="00D17ED4" w:rsidRDefault="00D17ED4">
      <w:pPr>
        <w:spacing w:line="259" w:lineRule="auto"/>
        <w:rPr>
          <w:rStyle w:val="Hyperlink"/>
          <w:rFonts w:cs="Times New Roman (Body CS)"/>
          <w:b/>
          <w:caps/>
          <w:color w:val="00A8E5" w:themeColor="accent1"/>
          <w:sz w:val="22"/>
          <w:szCs w:val="24"/>
        </w:rPr>
      </w:pPr>
      <w:r>
        <w:rPr>
          <w:rStyle w:val="Hyperlink"/>
          <w:b/>
        </w:rPr>
        <w:br w:type="page"/>
      </w:r>
    </w:p>
    <w:p w14:paraId="717F6ECD" w14:textId="27066415" w:rsidR="00DD0B3D" w:rsidRPr="008A4886" w:rsidRDefault="00DD0B3D" w:rsidP="00DD0B3D">
      <w:pPr>
        <w:pStyle w:val="AEMCHeaderL4"/>
        <w:rPr>
          <w:rStyle w:val="Hyperlink"/>
        </w:rPr>
      </w:pPr>
      <w:r w:rsidRPr="008A4886">
        <w:rPr>
          <w:rStyle w:val="Hyperlink"/>
          <w:b/>
        </w:rPr>
        <w:lastRenderedPageBreak/>
        <w:t xml:space="preserve">CHAPTER </w:t>
      </w:r>
      <w:r w:rsidR="005E0B40">
        <w:rPr>
          <w:rStyle w:val="Hyperlink"/>
          <w:b/>
        </w:rPr>
        <w:t>4</w:t>
      </w:r>
      <w:r w:rsidRPr="008A4886">
        <w:rPr>
          <w:rStyle w:val="Hyperlink"/>
        </w:rPr>
        <w:t xml:space="preserve"> – </w:t>
      </w:r>
      <w:r>
        <w:rPr>
          <w:rStyle w:val="Hyperlink"/>
        </w:rPr>
        <w:t xml:space="preserve">sECTION </w:t>
      </w:r>
      <w:r w:rsidR="005E0B40">
        <w:rPr>
          <w:rStyle w:val="Hyperlink"/>
        </w:rPr>
        <w:t>4</w:t>
      </w:r>
      <w:r w:rsidR="00F72FFE">
        <w:rPr>
          <w:rStyle w:val="Hyperlink"/>
        </w:rPr>
        <w:t>.</w:t>
      </w:r>
      <w:r w:rsidR="00744766">
        <w:rPr>
          <w:rStyle w:val="Hyperlink"/>
        </w:rPr>
        <w:t>2</w:t>
      </w:r>
      <w:r w:rsidR="0025621E">
        <w:rPr>
          <w:rStyle w:val="Hyperlink"/>
        </w:rPr>
        <w:t>.1</w:t>
      </w:r>
      <w:r>
        <w:rPr>
          <w:rStyle w:val="Hyperlink"/>
        </w:rPr>
        <w:t xml:space="preserve"> </w:t>
      </w:r>
      <w:r w:rsidR="00F72FFE">
        <w:rPr>
          <w:rStyle w:val="Hyperlink"/>
        </w:rPr>
        <w:t>–</w:t>
      </w:r>
      <w:r>
        <w:rPr>
          <w:rStyle w:val="Hyperlink"/>
        </w:rPr>
        <w:t xml:space="preserve"> </w:t>
      </w:r>
      <w:r w:rsidR="0025621E">
        <w:rPr>
          <w:rStyle w:val="Hyperlink"/>
        </w:rPr>
        <w:t>ELIGIBILITY TO DEFER PAYMENT OF NETWORK CHARGES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F72FFE" w14:paraId="37F2B352" w14:textId="77777777" w:rsidTr="00F72FFE">
        <w:trPr>
          <w:trHeight w:val="567"/>
        </w:trPr>
        <w:tc>
          <w:tcPr>
            <w:tcW w:w="14626" w:type="dxa"/>
            <w:gridSpan w:val="2"/>
            <w:tcBorders>
              <w:top w:val="single" w:sz="18" w:space="0" w:color="00A8E5" w:themeColor="accent1"/>
            </w:tcBorders>
            <w:shd w:val="clear" w:color="auto" w:fill="F6F6F6"/>
            <w:vAlign w:val="center"/>
          </w:tcPr>
          <w:p w14:paraId="40CA9CEB" w14:textId="335FBA19" w:rsidR="00F72FFE" w:rsidRPr="0025621E" w:rsidRDefault="00744766" w:rsidP="00744766">
            <w:pPr>
              <w:pStyle w:val="AEMCTableBodyCopyNumbers"/>
              <w:numPr>
                <w:ilvl w:val="0"/>
                <w:numId w:val="0"/>
              </w:numPr>
              <w:ind w:left="284" w:hanging="284"/>
              <w:rPr>
                <w:rStyle w:val="Hyperlink"/>
                <w:bCs/>
              </w:rPr>
            </w:pPr>
            <w:r>
              <w:rPr>
                <w:rStyle w:val="Hyperlink"/>
                <w:b/>
              </w:rPr>
              <w:t xml:space="preserve">Question 2 </w:t>
            </w:r>
            <w:r w:rsidRPr="0025621E">
              <w:rPr>
                <w:rStyle w:val="Hyperlink"/>
                <w:b/>
              </w:rPr>
              <w:t xml:space="preserve">– </w:t>
            </w:r>
            <w:r w:rsidR="0025621E" w:rsidRPr="0025621E">
              <w:rPr>
                <w:rStyle w:val="Hyperlink"/>
                <w:b/>
              </w:rPr>
              <w:t>Retailer eligibility</w:t>
            </w:r>
          </w:p>
        </w:tc>
      </w:tr>
      <w:tr w:rsidR="004E4060" w:rsidRPr="0000465F" w14:paraId="59E5C2F7" w14:textId="77777777" w:rsidTr="00744766">
        <w:trPr>
          <w:trHeight w:val="1054"/>
        </w:trPr>
        <w:tc>
          <w:tcPr>
            <w:tcW w:w="4535" w:type="dxa"/>
            <w:tcBorders>
              <w:right w:val="single" w:sz="2" w:space="0" w:color="58595B" w:themeColor="accent4"/>
            </w:tcBorders>
            <w:shd w:val="clear" w:color="auto" w:fill="F6F6F6"/>
            <w:vAlign w:val="center"/>
          </w:tcPr>
          <w:p w14:paraId="74D6235B" w14:textId="1F93023B" w:rsidR="004E4060" w:rsidRPr="0000465F" w:rsidRDefault="0025621E" w:rsidP="0025621E">
            <w:pPr>
              <w:pStyle w:val="AEMCTableBodyCopyNumbers"/>
              <w:numPr>
                <w:ilvl w:val="0"/>
                <w:numId w:val="12"/>
              </w:numPr>
              <w:rPr>
                <w:rStyle w:val="Hyperlink"/>
              </w:rPr>
            </w:pPr>
            <w:r>
              <w:t>Is it appropriate and/or necessary to expressly exclude certain classes of retailer from deferring the payment of network charges under the proposed rule change? If so, please provide reasoning to support your position.</w:t>
            </w:r>
            <w:r w:rsidR="005E0B40">
              <w:t xml:space="preserve"> </w:t>
            </w:r>
          </w:p>
        </w:tc>
        <w:tc>
          <w:tcPr>
            <w:tcW w:w="10091" w:type="dxa"/>
            <w:tcBorders>
              <w:left w:val="single" w:sz="2" w:space="0" w:color="58595B" w:themeColor="accent4"/>
            </w:tcBorders>
            <w:vAlign w:val="center"/>
          </w:tcPr>
          <w:p w14:paraId="561760B4" w14:textId="77777777" w:rsidR="004E4060" w:rsidRPr="00785222" w:rsidRDefault="00712806" w:rsidP="00F72FFE">
            <w:pPr>
              <w:pStyle w:val="AEMCTableBodyCopy"/>
              <w:rPr>
                <w:rStyle w:val="Hyperlink"/>
              </w:rPr>
            </w:pPr>
            <w:r w:rsidRPr="00785222">
              <w:rPr>
                <w:rStyle w:val="Hyperlink"/>
              </w:rPr>
              <w:fldChar w:fldCharType="begin">
                <w:ffData>
                  <w:name w:val="Text8"/>
                  <w:enabled/>
                  <w:calcOnExit w:val="0"/>
                  <w:textInput/>
                </w:ffData>
              </w:fldChar>
            </w:r>
            <w:bookmarkStart w:id="6" w:name="Text8"/>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6"/>
          </w:p>
        </w:tc>
      </w:tr>
      <w:tr w:rsidR="004E4060" w:rsidRPr="0000465F" w14:paraId="3DEA9E55" w14:textId="77777777" w:rsidTr="0025621E">
        <w:trPr>
          <w:trHeight w:val="1199"/>
        </w:trPr>
        <w:tc>
          <w:tcPr>
            <w:tcW w:w="4535" w:type="dxa"/>
            <w:tcBorders>
              <w:right w:val="single" w:sz="2" w:space="0" w:color="58595B" w:themeColor="accent4"/>
            </w:tcBorders>
            <w:shd w:val="clear" w:color="auto" w:fill="F6F6F6"/>
            <w:vAlign w:val="center"/>
          </w:tcPr>
          <w:p w14:paraId="5E7554F2" w14:textId="09B992C0" w:rsidR="004E4060" w:rsidRPr="0025621E" w:rsidRDefault="0025621E" w:rsidP="0025621E">
            <w:pPr>
              <w:pStyle w:val="ListParagraph"/>
              <w:numPr>
                <w:ilvl w:val="0"/>
                <w:numId w:val="12"/>
              </w:numPr>
              <w:rPr>
                <w:rStyle w:val="Hyperlink"/>
                <w:szCs w:val="18"/>
              </w:rPr>
            </w:pPr>
            <w:r w:rsidRPr="0025621E">
              <w:rPr>
                <w:szCs w:val="18"/>
              </w:rPr>
              <w:t>If the onus is placed on retailers to show they have a legitimate financial need to access the proposed deferral mechanism, what eligibility criteria should apply?</w:t>
            </w:r>
          </w:p>
        </w:tc>
        <w:tc>
          <w:tcPr>
            <w:tcW w:w="10091" w:type="dxa"/>
            <w:tcBorders>
              <w:left w:val="single" w:sz="2" w:space="0" w:color="58595B" w:themeColor="accent4"/>
            </w:tcBorders>
            <w:vAlign w:val="center"/>
          </w:tcPr>
          <w:p w14:paraId="5648B23C" w14:textId="77777777" w:rsidR="004E4060" w:rsidRPr="00785222" w:rsidRDefault="00712806" w:rsidP="00F72FFE">
            <w:pPr>
              <w:pStyle w:val="AEMCTableBodyCopy"/>
              <w:rPr>
                <w:rStyle w:val="Hyperlink"/>
              </w:rPr>
            </w:pPr>
            <w:r w:rsidRPr="00785222">
              <w:rPr>
                <w:rStyle w:val="Hyperlink"/>
              </w:rPr>
              <w:fldChar w:fldCharType="begin">
                <w:ffData>
                  <w:name w:val="Text9"/>
                  <w:enabled/>
                  <w:calcOnExit w:val="0"/>
                  <w:textInput/>
                </w:ffData>
              </w:fldChar>
            </w:r>
            <w:bookmarkStart w:id="7" w:name="Text9"/>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7"/>
          </w:p>
        </w:tc>
      </w:tr>
      <w:tr w:rsidR="00F72FFE" w:rsidRPr="0000465F" w14:paraId="2D8E1972" w14:textId="77777777" w:rsidTr="0025621E">
        <w:trPr>
          <w:trHeight w:val="1056"/>
        </w:trPr>
        <w:tc>
          <w:tcPr>
            <w:tcW w:w="4535" w:type="dxa"/>
            <w:tcBorders>
              <w:right w:val="single" w:sz="2" w:space="0" w:color="58595B" w:themeColor="accent4"/>
            </w:tcBorders>
            <w:shd w:val="clear" w:color="auto" w:fill="F6F6F6"/>
            <w:vAlign w:val="center"/>
          </w:tcPr>
          <w:p w14:paraId="6CC90A5A" w14:textId="1829A155" w:rsidR="00F72FFE" w:rsidRPr="00DD0B3D" w:rsidRDefault="0025621E" w:rsidP="00744766">
            <w:pPr>
              <w:pStyle w:val="AEMCTableBodyCopyNumbers"/>
              <w:numPr>
                <w:ilvl w:val="0"/>
                <w:numId w:val="12"/>
              </w:numPr>
              <w:rPr>
                <w:rStyle w:val="Hyperlink"/>
              </w:rPr>
            </w:pPr>
            <w:r w:rsidRPr="0025621E">
              <w:t>What would be an appropriate and efficient process for the verification of information provided by retailers under the approach described in (b) above?</w:t>
            </w:r>
            <w:r w:rsidR="005E0B40">
              <w:t xml:space="preserve">   </w:t>
            </w:r>
          </w:p>
        </w:tc>
        <w:tc>
          <w:tcPr>
            <w:tcW w:w="10091" w:type="dxa"/>
            <w:tcBorders>
              <w:left w:val="single" w:sz="2" w:space="0" w:color="58595B" w:themeColor="accent4"/>
            </w:tcBorders>
            <w:vAlign w:val="center"/>
          </w:tcPr>
          <w:p w14:paraId="779F18FA" w14:textId="77777777" w:rsidR="00F72FFE" w:rsidRPr="00785222" w:rsidRDefault="00F72FFE" w:rsidP="00F72FFE">
            <w:pPr>
              <w:pStyle w:val="AEMCTableBodyCopy"/>
              <w:rPr>
                <w:rStyle w:val="Hyperlink"/>
              </w:rPr>
            </w:pPr>
            <w:r w:rsidRPr="00785222">
              <w:rPr>
                <w:rStyle w:val="Hyperlink"/>
              </w:rPr>
              <w:fldChar w:fldCharType="begin">
                <w:ffData>
                  <w:name w:val="Text9"/>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25621E" w:rsidRPr="0000465F" w14:paraId="7AF3732A" w14:textId="77777777" w:rsidTr="00744766">
        <w:trPr>
          <w:trHeight w:val="1548"/>
        </w:trPr>
        <w:tc>
          <w:tcPr>
            <w:tcW w:w="4535" w:type="dxa"/>
            <w:tcBorders>
              <w:right w:val="single" w:sz="2" w:space="0" w:color="58595B" w:themeColor="accent4"/>
            </w:tcBorders>
            <w:shd w:val="clear" w:color="auto" w:fill="F6F6F6"/>
            <w:vAlign w:val="center"/>
          </w:tcPr>
          <w:p w14:paraId="24DBD716" w14:textId="6056A053" w:rsidR="0025621E" w:rsidRPr="0025621E" w:rsidRDefault="0025621E" w:rsidP="00744766">
            <w:pPr>
              <w:pStyle w:val="AEMCTableBodyCopyNumbers"/>
              <w:numPr>
                <w:ilvl w:val="0"/>
                <w:numId w:val="12"/>
              </w:numPr>
            </w:pPr>
            <w:r w:rsidRPr="0025621E">
              <w:t>Do stakeholders have views on how the deferral mechanism could be designed to incentivise only those retailers that legitimately require immediate financial support due to COVID-19 to access this mechanism (including allowing DNSPs to charge interest on deferred payments)?</w:t>
            </w:r>
          </w:p>
        </w:tc>
        <w:tc>
          <w:tcPr>
            <w:tcW w:w="10091" w:type="dxa"/>
            <w:tcBorders>
              <w:left w:val="single" w:sz="2" w:space="0" w:color="58595B" w:themeColor="accent4"/>
            </w:tcBorders>
            <w:vAlign w:val="center"/>
          </w:tcPr>
          <w:p w14:paraId="20D73405" w14:textId="77777777" w:rsidR="0025621E" w:rsidRPr="00785222" w:rsidRDefault="0025621E" w:rsidP="00F72FFE">
            <w:pPr>
              <w:pStyle w:val="AEMCTableBodyCopy"/>
              <w:rPr>
                <w:rStyle w:val="Hyperlink"/>
              </w:rPr>
            </w:pPr>
          </w:p>
        </w:tc>
      </w:tr>
      <w:tr w:rsidR="0025621E" w:rsidRPr="0000465F" w14:paraId="7FEAB309" w14:textId="77777777" w:rsidTr="0025621E">
        <w:trPr>
          <w:trHeight w:val="1278"/>
        </w:trPr>
        <w:tc>
          <w:tcPr>
            <w:tcW w:w="4535" w:type="dxa"/>
            <w:tcBorders>
              <w:right w:val="single" w:sz="2" w:space="0" w:color="58595B" w:themeColor="accent4"/>
            </w:tcBorders>
            <w:shd w:val="clear" w:color="auto" w:fill="F6F6F6"/>
            <w:vAlign w:val="center"/>
          </w:tcPr>
          <w:p w14:paraId="1ADBD33D" w14:textId="62A17E9B" w:rsidR="0025621E" w:rsidRPr="0025621E" w:rsidRDefault="0025621E" w:rsidP="00744766">
            <w:pPr>
              <w:pStyle w:val="AEMCTableBodyCopyNumbers"/>
              <w:numPr>
                <w:ilvl w:val="0"/>
                <w:numId w:val="12"/>
              </w:numPr>
            </w:pPr>
            <w:r w:rsidRPr="0025621E">
              <w:t>Do stakeholders have views on whether any of the approaches outlined above (or a combination of each) would be preferable?</w:t>
            </w:r>
          </w:p>
        </w:tc>
        <w:tc>
          <w:tcPr>
            <w:tcW w:w="10091" w:type="dxa"/>
            <w:tcBorders>
              <w:left w:val="single" w:sz="2" w:space="0" w:color="58595B" w:themeColor="accent4"/>
            </w:tcBorders>
            <w:vAlign w:val="center"/>
          </w:tcPr>
          <w:p w14:paraId="7E4388F9" w14:textId="77777777" w:rsidR="0025621E" w:rsidRPr="00785222" w:rsidRDefault="0025621E" w:rsidP="00F72FFE">
            <w:pPr>
              <w:pStyle w:val="AEMCTableBodyCopy"/>
              <w:rPr>
                <w:rStyle w:val="Hyperlink"/>
              </w:rPr>
            </w:pPr>
          </w:p>
        </w:tc>
      </w:tr>
    </w:tbl>
    <w:p w14:paraId="29FCE4BB" w14:textId="77777777" w:rsidR="0015555C" w:rsidRDefault="0015555C" w:rsidP="00A85F9E">
      <w:pPr>
        <w:pStyle w:val="AEMCBodyCopy"/>
        <w:rPr>
          <w:rStyle w:val="Hyperlink"/>
        </w:rPr>
      </w:pP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F72FFE" w14:paraId="012626B1" w14:textId="77777777" w:rsidTr="000E02A8">
        <w:trPr>
          <w:trHeight w:val="567"/>
        </w:trPr>
        <w:tc>
          <w:tcPr>
            <w:tcW w:w="14626" w:type="dxa"/>
            <w:gridSpan w:val="2"/>
            <w:tcBorders>
              <w:top w:val="single" w:sz="18" w:space="0" w:color="00A8E5" w:themeColor="accent1"/>
            </w:tcBorders>
            <w:shd w:val="clear" w:color="auto" w:fill="F6F6F6"/>
            <w:vAlign w:val="center"/>
          </w:tcPr>
          <w:p w14:paraId="0E08C2CF" w14:textId="54F366F5" w:rsidR="005E0B40" w:rsidRPr="00F72FFE" w:rsidRDefault="005E0B40" w:rsidP="000E02A8">
            <w:pPr>
              <w:pStyle w:val="AEMCTableBodyCopyNumbers"/>
              <w:numPr>
                <w:ilvl w:val="0"/>
                <w:numId w:val="0"/>
              </w:numPr>
              <w:ind w:left="284" w:hanging="284"/>
              <w:rPr>
                <w:rStyle w:val="Hyperlink"/>
                <w:b/>
              </w:rPr>
            </w:pPr>
            <w:r>
              <w:rPr>
                <w:rStyle w:val="Hyperlink"/>
                <w:b/>
              </w:rPr>
              <w:lastRenderedPageBreak/>
              <w:t xml:space="preserve">Question 3 – </w:t>
            </w:r>
            <w:r w:rsidR="0025621E">
              <w:rPr>
                <w:rStyle w:val="Hyperlink"/>
                <w:b/>
              </w:rPr>
              <w:t>Customer eligibility</w:t>
            </w:r>
          </w:p>
        </w:tc>
      </w:tr>
      <w:tr w:rsidR="005E0B40" w:rsidRPr="0000465F" w14:paraId="04684C0B" w14:textId="77777777" w:rsidTr="000E02A8">
        <w:trPr>
          <w:trHeight w:val="1054"/>
        </w:trPr>
        <w:tc>
          <w:tcPr>
            <w:tcW w:w="4535" w:type="dxa"/>
            <w:tcBorders>
              <w:right w:val="single" w:sz="2" w:space="0" w:color="58595B" w:themeColor="accent4"/>
            </w:tcBorders>
            <w:shd w:val="clear" w:color="auto" w:fill="F6F6F6"/>
            <w:vAlign w:val="center"/>
          </w:tcPr>
          <w:p w14:paraId="2FA6FD37" w14:textId="4110221D" w:rsidR="005E0B40" w:rsidRPr="0000465F" w:rsidRDefault="0025621E" w:rsidP="0025621E">
            <w:pPr>
              <w:pStyle w:val="AEMCTableBodyCopyNumbers"/>
              <w:numPr>
                <w:ilvl w:val="0"/>
                <w:numId w:val="17"/>
              </w:numPr>
              <w:rPr>
                <w:rStyle w:val="Hyperlink"/>
              </w:rPr>
            </w:pPr>
            <w:r w:rsidRPr="0025621E">
              <w:t>Do stakeholders have views on the types of customers that should be captured by the proposed deferral mechanism and how these customers can be clearly defined in the NER? Is it appropriate and/or necessary for this mechanism to include large commercial and industrial customers?</w:t>
            </w:r>
          </w:p>
        </w:tc>
        <w:tc>
          <w:tcPr>
            <w:tcW w:w="10091" w:type="dxa"/>
            <w:tcBorders>
              <w:left w:val="single" w:sz="2" w:space="0" w:color="58595B" w:themeColor="accent4"/>
            </w:tcBorders>
            <w:vAlign w:val="center"/>
          </w:tcPr>
          <w:p w14:paraId="344CE134" w14:textId="77777777" w:rsidR="005E0B40" w:rsidRPr="00785222" w:rsidRDefault="005E0B40" w:rsidP="000E02A8">
            <w:pPr>
              <w:pStyle w:val="AEMCTableBodyCopy"/>
              <w:rPr>
                <w:rStyle w:val="Hyperlink"/>
              </w:rPr>
            </w:pPr>
            <w:r w:rsidRPr="00785222">
              <w:rPr>
                <w:rStyle w:val="Hyperlink"/>
              </w:rPr>
              <w:fldChar w:fldCharType="begin">
                <w:ffData>
                  <w:name w:val="Text8"/>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0CCAD563" w14:textId="77777777" w:rsidR="00D17ED4" w:rsidRDefault="00D17ED4">
      <w:pPr>
        <w:spacing w:line="259" w:lineRule="auto"/>
        <w:rPr>
          <w:rStyle w:val="Hyperlink"/>
          <w:b/>
        </w:rPr>
      </w:pPr>
    </w:p>
    <w:p w14:paraId="435DBB89" w14:textId="77777777" w:rsidR="00D17ED4" w:rsidRDefault="00D17ED4">
      <w:pPr>
        <w:spacing w:line="259" w:lineRule="auto"/>
        <w:rPr>
          <w:rStyle w:val="Hyperlink"/>
          <w:b/>
        </w:rPr>
      </w:pPr>
      <w:r>
        <w:rPr>
          <w:rStyle w:val="Hyperlink"/>
          <w:b/>
        </w:rPr>
        <w:br w:type="page"/>
      </w:r>
    </w:p>
    <w:p w14:paraId="517C4A8D" w14:textId="2B363B47" w:rsidR="0015555C" w:rsidRDefault="0015555C" w:rsidP="0015555C">
      <w:pPr>
        <w:pStyle w:val="AEMCHeaderL4"/>
        <w:rPr>
          <w:rStyle w:val="Hyperlink"/>
        </w:rPr>
      </w:pPr>
      <w:r w:rsidRPr="0015555C">
        <w:rPr>
          <w:rStyle w:val="Hyperlink"/>
          <w:b/>
        </w:rPr>
        <w:lastRenderedPageBreak/>
        <w:t xml:space="preserve">CHAPTER </w:t>
      </w:r>
      <w:r w:rsidR="005E0B40">
        <w:rPr>
          <w:rStyle w:val="Hyperlink"/>
          <w:b/>
        </w:rPr>
        <w:t>4</w:t>
      </w:r>
      <w:r>
        <w:rPr>
          <w:rStyle w:val="Hyperlink"/>
        </w:rPr>
        <w:t xml:space="preserve"> – </w:t>
      </w:r>
      <w:r w:rsidR="00DD0B3D">
        <w:rPr>
          <w:rStyle w:val="Hyperlink"/>
        </w:rPr>
        <w:t xml:space="preserve">sECTION </w:t>
      </w:r>
      <w:r w:rsidR="005E0B40">
        <w:rPr>
          <w:rStyle w:val="Hyperlink"/>
        </w:rPr>
        <w:t>4</w:t>
      </w:r>
      <w:r w:rsidR="00F72FFE">
        <w:rPr>
          <w:rStyle w:val="Hyperlink"/>
        </w:rPr>
        <w:t>.</w:t>
      </w:r>
      <w:r w:rsidR="0025621E">
        <w:rPr>
          <w:rStyle w:val="Hyperlink"/>
        </w:rPr>
        <w:t>2.2</w:t>
      </w:r>
      <w:r w:rsidR="00DD0B3D">
        <w:rPr>
          <w:rStyle w:val="Hyperlink"/>
        </w:rPr>
        <w:t xml:space="preserve"> </w:t>
      </w:r>
      <w:r w:rsidR="00F72FFE">
        <w:rPr>
          <w:rStyle w:val="Hyperlink"/>
        </w:rPr>
        <w:t>–</w:t>
      </w:r>
      <w:r w:rsidR="00DD0B3D">
        <w:rPr>
          <w:rStyle w:val="Hyperlink"/>
        </w:rPr>
        <w:t xml:space="preserve"> </w:t>
      </w:r>
      <w:r w:rsidR="0025621E">
        <w:rPr>
          <w:rStyle w:val="Hyperlink"/>
        </w:rPr>
        <w:t>DEFERRAL TIMEFRAME AND TERMS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F72FFE" w:rsidRPr="0000465F" w14:paraId="747A0523" w14:textId="77777777" w:rsidTr="00F72FFE">
        <w:trPr>
          <w:trHeight w:val="567"/>
        </w:trPr>
        <w:tc>
          <w:tcPr>
            <w:tcW w:w="14626" w:type="dxa"/>
            <w:gridSpan w:val="2"/>
            <w:tcBorders>
              <w:top w:val="single" w:sz="18" w:space="0" w:color="00A8E5" w:themeColor="accent1"/>
            </w:tcBorders>
            <w:shd w:val="clear" w:color="auto" w:fill="F6F6F6"/>
            <w:vAlign w:val="center"/>
          </w:tcPr>
          <w:p w14:paraId="2844DA5E" w14:textId="09F27F12" w:rsidR="00F72FFE" w:rsidRPr="00F72FFE" w:rsidRDefault="00E25A98" w:rsidP="00F72FFE">
            <w:pPr>
              <w:pStyle w:val="AEMCTableBodyCopy"/>
              <w:rPr>
                <w:rStyle w:val="Hyperlink"/>
                <w:b/>
              </w:rPr>
            </w:pPr>
            <w:r>
              <w:rPr>
                <w:rStyle w:val="Hyperlink"/>
                <w:b/>
              </w:rPr>
              <w:t xml:space="preserve">Question </w:t>
            </w:r>
            <w:r w:rsidR="005E0B40">
              <w:rPr>
                <w:rStyle w:val="Hyperlink"/>
                <w:b/>
              </w:rPr>
              <w:t>4</w:t>
            </w:r>
            <w:r>
              <w:rPr>
                <w:rStyle w:val="Hyperlink"/>
                <w:b/>
              </w:rPr>
              <w:t xml:space="preserve"> – </w:t>
            </w:r>
            <w:r w:rsidR="0025621E">
              <w:rPr>
                <w:rStyle w:val="Hyperlink"/>
                <w:b/>
              </w:rPr>
              <w:t>Length of deferral period</w:t>
            </w:r>
          </w:p>
        </w:tc>
      </w:tr>
      <w:tr w:rsidR="0015555C" w:rsidRPr="0000465F" w14:paraId="70E2CF58" w14:textId="77777777" w:rsidTr="00F72FFE">
        <w:trPr>
          <w:trHeight w:val="1701"/>
        </w:trPr>
        <w:tc>
          <w:tcPr>
            <w:tcW w:w="4535" w:type="dxa"/>
            <w:tcBorders>
              <w:right w:val="single" w:sz="2" w:space="0" w:color="58595B" w:themeColor="accent4"/>
            </w:tcBorders>
            <w:shd w:val="clear" w:color="auto" w:fill="F6F6F6"/>
            <w:vAlign w:val="center"/>
          </w:tcPr>
          <w:p w14:paraId="08240A60" w14:textId="32E33371" w:rsidR="0015555C" w:rsidRPr="0000465F" w:rsidRDefault="0025621E" w:rsidP="00E25A98">
            <w:pPr>
              <w:pStyle w:val="AEMCTableBodyCopyNumbers"/>
              <w:numPr>
                <w:ilvl w:val="0"/>
                <w:numId w:val="13"/>
              </w:numPr>
              <w:rPr>
                <w:rStyle w:val="Hyperlink"/>
              </w:rPr>
            </w:pPr>
            <w:r w:rsidRPr="0025621E">
              <w:t xml:space="preserve">Is a six-month deferral of the payment of network charges an appropriate timeframe, having regard to the potential cash flow impacts of COVID-19 on the retail electricity market in the second half of 2020? Alternatively, would a shorter deferral timeframe be </w:t>
            </w:r>
            <w:proofErr w:type="gramStart"/>
            <w:r w:rsidRPr="0025621E">
              <w:t>sufficient</w:t>
            </w:r>
            <w:proofErr w:type="gramEnd"/>
            <w:r w:rsidRPr="0025621E">
              <w:t xml:space="preserve"> to allow retailers to overcome the financial pressures posed by the current environment?</w:t>
            </w:r>
            <w:r w:rsidR="005E0B40">
              <w:t xml:space="preserve">  </w:t>
            </w:r>
          </w:p>
        </w:tc>
        <w:tc>
          <w:tcPr>
            <w:tcW w:w="10091" w:type="dxa"/>
            <w:tcBorders>
              <w:left w:val="single" w:sz="2" w:space="0" w:color="58595B" w:themeColor="accent4"/>
            </w:tcBorders>
            <w:vAlign w:val="center"/>
          </w:tcPr>
          <w:p w14:paraId="69AEC5B0" w14:textId="77777777" w:rsidR="0015555C" w:rsidRPr="00785222" w:rsidRDefault="00712806" w:rsidP="00F72FFE">
            <w:pPr>
              <w:pStyle w:val="AEMCTableBodyCopy"/>
              <w:rPr>
                <w:rStyle w:val="Hyperlink"/>
              </w:rPr>
            </w:pPr>
            <w:r w:rsidRPr="00785222">
              <w:rPr>
                <w:rStyle w:val="Hyperlink"/>
              </w:rPr>
              <w:fldChar w:fldCharType="begin">
                <w:ffData>
                  <w:name w:val="Text14"/>
                  <w:enabled/>
                  <w:calcOnExit w:val="0"/>
                  <w:textInput/>
                </w:ffData>
              </w:fldChar>
            </w:r>
            <w:bookmarkStart w:id="8" w:name="Text14"/>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8"/>
          </w:p>
        </w:tc>
      </w:tr>
      <w:tr w:rsidR="0015555C" w:rsidRPr="0000465F" w14:paraId="783DA5B9" w14:textId="77777777" w:rsidTr="00F72FFE">
        <w:trPr>
          <w:trHeight w:val="850"/>
        </w:trPr>
        <w:tc>
          <w:tcPr>
            <w:tcW w:w="4535" w:type="dxa"/>
            <w:tcBorders>
              <w:right w:val="single" w:sz="2" w:space="0" w:color="58595B" w:themeColor="accent4"/>
            </w:tcBorders>
            <w:shd w:val="clear" w:color="auto" w:fill="F6F6F6"/>
            <w:vAlign w:val="center"/>
          </w:tcPr>
          <w:p w14:paraId="48395E13" w14:textId="071C0980" w:rsidR="0015555C" w:rsidRPr="0000465F" w:rsidRDefault="0025621E" w:rsidP="00E25A98">
            <w:pPr>
              <w:pStyle w:val="AEMCTableBodyCopyNumbers"/>
              <w:numPr>
                <w:ilvl w:val="0"/>
                <w:numId w:val="13"/>
              </w:numPr>
              <w:rPr>
                <w:rStyle w:val="Hyperlink"/>
              </w:rPr>
            </w:pPr>
            <w:r w:rsidRPr="0025621E">
              <w:t>What are the implications (if any) of a six-month deferral period for NSPs, compared to a shorter or longer deferral period?</w:t>
            </w:r>
          </w:p>
        </w:tc>
        <w:tc>
          <w:tcPr>
            <w:tcW w:w="10091" w:type="dxa"/>
            <w:tcBorders>
              <w:left w:val="single" w:sz="2" w:space="0" w:color="58595B" w:themeColor="accent4"/>
            </w:tcBorders>
            <w:vAlign w:val="center"/>
          </w:tcPr>
          <w:p w14:paraId="5BDAE986" w14:textId="77777777" w:rsidR="0015555C" w:rsidRPr="00785222" w:rsidRDefault="00712806" w:rsidP="00F72FFE">
            <w:pPr>
              <w:pStyle w:val="AEMCTableBodyCopy"/>
              <w:rPr>
                <w:rStyle w:val="Hyperlink"/>
              </w:rPr>
            </w:pPr>
            <w:r w:rsidRPr="00785222">
              <w:rPr>
                <w:rStyle w:val="Hyperlink"/>
              </w:rPr>
              <w:fldChar w:fldCharType="begin">
                <w:ffData>
                  <w:name w:val="Text15"/>
                  <w:enabled/>
                  <w:calcOnExit w:val="0"/>
                  <w:textInput/>
                </w:ffData>
              </w:fldChar>
            </w:r>
            <w:bookmarkStart w:id="9" w:name="Text15"/>
            <w:r w:rsidRPr="00785222">
              <w:rPr>
                <w:rStyle w:val="Hyperlink"/>
              </w:rPr>
              <w:instrText xml:space="preserve"> FORMTEXT </w:instrText>
            </w:r>
            <w:r w:rsidRPr="00785222">
              <w:rPr>
                <w:rStyle w:val="Hyperlink"/>
              </w:rPr>
            </w:r>
            <w:r w:rsidRPr="00785222">
              <w:rPr>
                <w:rStyle w:val="Hyperlink"/>
              </w:rPr>
              <w:fldChar w:fldCharType="separate"/>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00865904">
              <w:rPr>
                <w:rStyle w:val="Hyperlink"/>
                <w:noProof/>
              </w:rPr>
              <w:t> </w:t>
            </w:r>
            <w:r w:rsidRPr="00785222">
              <w:rPr>
                <w:rStyle w:val="Hyperlink"/>
              </w:rPr>
              <w:fldChar w:fldCharType="end"/>
            </w:r>
            <w:bookmarkEnd w:id="9"/>
          </w:p>
        </w:tc>
      </w:tr>
    </w:tbl>
    <w:p w14:paraId="3F4E14D5" w14:textId="418B1EA1" w:rsidR="00D17ED4" w:rsidRDefault="00D17ED4" w:rsidP="00D17ED4">
      <w:pPr>
        <w:pStyle w:val="AEMCBodyCopy"/>
        <w:rPr>
          <w:rStyle w:val="Hyperlink"/>
          <w:b/>
        </w:rPr>
      </w:pPr>
    </w:p>
    <w:p w14:paraId="3AA8784E" w14:textId="77777777" w:rsidR="0025621E" w:rsidRDefault="00D17ED4">
      <w:pPr>
        <w:spacing w:line="259" w:lineRule="auto"/>
        <w:rPr>
          <w:rStyle w:val="Hyperlink"/>
          <w:b/>
        </w:rPr>
      </w:pPr>
      <w:r>
        <w:rPr>
          <w:rStyle w:val="Hyperlink"/>
          <w:b/>
        </w:rPr>
        <w:br w:type="page"/>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25621E" w:rsidRPr="0000465F" w14:paraId="0C35C298" w14:textId="77777777" w:rsidTr="00383D2E">
        <w:trPr>
          <w:trHeight w:val="567"/>
        </w:trPr>
        <w:tc>
          <w:tcPr>
            <w:tcW w:w="14626" w:type="dxa"/>
            <w:gridSpan w:val="2"/>
            <w:tcBorders>
              <w:top w:val="single" w:sz="18" w:space="0" w:color="00A8E5" w:themeColor="accent1"/>
            </w:tcBorders>
            <w:shd w:val="clear" w:color="auto" w:fill="F6F6F6"/>
            <w:vAlign w:val="center"/>
          </w:tcPr>
          <w:p w14:paraId="6C1C13F0" w14:textId="22209F01" w:rsidR="0025621E" w:rsidRPr="00F72FFE" w:rsidRDefault="0025621E" w:rsidP="00383D2E">
            <w:pPr>
              <w:pStyle w:val="AEMCTableBodyCopy"/>
              <w:rPr>
                <w:rStyle w:val="Hyperlink"/>
                <w:b/>
              </w:rPr>
            </w:pPr>
            <w:r>
              <w:rPr>
                <w:rStyle w:val="Hyperlink"/>
                <w:b/>
              </w:rPr>
              <w:lastRenderedPageBreak/>
              <w:t>Question 5 – Extension of deferral period</w:t>
            </w:r>
          </w:p>
        </w:tc>
      </w:tr>
      <w:tr w:rsidR="0025621E" w:rsidRPr="0000465F" w14:paraId="5DCC7853" w14:textId="77777777" w:rsidTr="00383D2E">
        <w:trPr>
          <w:trHeight w:val="1701"/>
        </w:trPr>
        <w:tc>
          <w:tcPr>
            <w:tcW w:w="4535" w:type="dxa"/>
            <w:tcBorders>
              <w:right w:val="single" w:sz="2" w:space="0" w:color="58595B" w:themeColor="accent4"/>
            </w:tcBorders>
            <w:shd w:val="clear" w:color="auto" w:fill="F6F6F6"/>
            <w:vAlign w:val="center"/>
          </w:tcPr>
          <w:p w14:paraId="057703FC" w14:textId="050A74D4" w:rsidR="0025621E" w:rsidRPr="0000465F" w:rsidRDefault="0025621E" w:rsidP="0025621E">
            <w:pPr>
              <w:pStyle w:val="AEMCTableBodyCopyNumbers"/>
              <w:numPr>
                <w:ilvl w:val="0"/>
                <w:numId w:val="18"/>
              </w:numPr>
              <w:rPr>
                <w:rStyle w:val="Hyperlink"/>
              </w:rPr>
            </w:pPr>
            <w:r w:rsidRPr="0025621E">
              <w:t>Is it appropriate and/or necessary for the AER to have the ability to extend the deferral period if this is considered necessary? If so, what conditions, considerations and/or</w:t>
            </w:r>
            <w:r>
              <w:t xml:space="preserve"> </w:t>
            </w:r>
            <w:r w:rsidRPr="0025621E">
              <w:t>consultation requirements should reasonably apply to the exercise of this power?</w:t>
            </w:r>
          </w:p>
        </w:tc>
        <w:tc>
          <w:tcPr>
            <w:tcW w:w="10091" w:type="dxa"/>
            <w:tcBorders>
              <w:left w:val="single" w:sz="2" w:space="0" w:color="58595B" w:themeColor="accent4"/>
            </w:tcBorders>
            <w:vAlign w:val="center"/>
          </w:tcPr>
          <w:p w14:paraId="41E087F4" w14:textId="77777777" w:rsidR="0025621E" w:rsidRPr="00785222" w:rsidRDefault="0025621E" w:rsidP="00383D2E">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6844AD23" w14:textId="77777777" w:rsidR="0025621E" w:rsidRDefault="0025621E" w:rsidP="0025621E">
      <w:pPr>
        <w:pStyle w:val="AEMCBodyCopy"/>
        <w:rPr>
          <w:rStyle w:val="Hyperlink"/>
          <w:b/>
        </w:rPr>
      </w:pPr>
    </w:p>
    <w:p w14:paraId="1122DF35" w14:textId="463CD6FF" w:rsidR="0025621E" w:rsidRDefault="0025621E">
      <w:pPr>
        <w:spacing w:line="259" w:lineRule="auto"/>
        <w:rPr>
          <w:rStyle w:val="Hyperlink"/>
          <w:b/>
        </w:rPr>
      </w:pPr>
      <w:r>
        <w:rPr>
          <w:rStyle w:val="Hyperlink"/>
          <w:b/>
        </w:rPr>
        <w:br w:type="page"/>
      </w:r>
    </w:p>
    <w:p w14:paraId="39BCE0AB" w14:textId="0D856F9F" w:rsidR="005E0B40" w:rsidRDefault="005E0B40" w:rsidP="005E0B40">
      <w:pPr>
        <w:pStyle w:val="AEMCHeaderL4"/>
        <w:rPr>
          <w:rStyle w:val="Hyperlink"/>
        </w:rPr>
      </w:pPr>
      <w:r w:rsidRPr="0015555C">
        <w:rPr>
          <w:rStyle w:val="Hyperlink"/>
          <w:b/>
        </w:rPr>
        <w:lastRenderedPageBreak/>
        <w:t xml:space="preserve">CHAPTER </w:t>
      </w:r>
      <w:r>
        <w:rPr>
          <w:rStyle w:val="Hyperlink"/>
          <w:b/>
        </w:rPr>
        <w:t>4</w:t>
      </w:r>
      <w:r>
        <w:rPr>
          <w:rStyle w:val="Hyperlink"/>
        </w:rPr>
        <w:t xml:space="preserve"> – sECTION 4.</w:t>
      </w:r>
      <w:r w:rsidR="00705380">
        <w:rPr>
          <w:rStyle w:val="Hyperlink"/>
        </w:rPr>
        <w:t>2.3</w:t>
      </w:r>
      <w:r>
        <w:rPr>
          <w:rStyle w:val="Hyperlink"/>
        </w:rPr>
        <w:t xml:space="preserve"> – </w:t>
      </w:r>
      <w:r w:rsidR="00705380">
        <w:rPr>
          <w:rStyle w:val="Hyperlink"/>
        </w:rPr>
        <w:t>deferral of payments between dnsps and tnsps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00465F" w14:paraId="15577DD6" w14:textId="77777777" w:rsidTr="000E02A8">
        <w:trPr>
          <w:trHeight w:val="567"/>
        </w:trPr>
        <w:tc>
          <w:tcPr>
            <w:tcW w:w="14626" w:type="dxa"/>
            <w:gridSpan w:val="2"/>
            <w:tcBorders>
              <w:top w:val="single" w:sz="18" w:space="0" w:color="00A8E5" w:themeColor="accent1"/>
            </w:tcBorders>
            <w:shd w:val="clear" w:color="auto" w:fill="F6F6F6"/>
            <w:vAlign w:val="center"/>
          </w:tcPr>
          <w:p w14:paraId="1E03DD8F" w14:textId="05DE861B" w:rsidR="005E0B40" w:rsidRPr="00F72FFE" w:rsidRDefault="005E0B40" w:rsidP="000E02A8">
            <w:pPr>
              <w:pStyle w:val="AEMCTableBodyCopy"/>
              <w:rPr>
                <w:rStyle w:val="Hyperlink"/>
                <w:b/>
              </w:rPr>
            </w:pPr>
            <w:r>
              <w:rPr>
                <w:rStyle w:val="Hyperlink"/>
                <w:b/>
              </w:rPr>
              <w:t xml:space="preserve">Question </w:t>
            </w:r>
            <w:r w:rsidR="0025621E">
              <w:rPr>
                <w:rStyle w:val="Hyperlink"/>
                <w:b/>
              </w:rPr>
              <w:t>6</w:t>
            </w:r>
            <w:r>
              <w:rPr>
                <w:rStyle w:val="Hyperlink"/>
                <w:b/>
              </w:rPr>
              <w:t xml:space="preserve"> – </w:t>
            </w:r>
            <w:r w:rsidR="00705380">
              <w:rPr>
                <w:rStyle w:val="Hyperlink"/>
                <w:b/>
              </w:rPr>
              <w:t>Deferral of payment of transmission network charges</w:t>
            </w:r>
          </w:p>
        </w:tc>
      </w:tr>
      <w:tr w:rsidR="005E0B40" w:rsidRPr="0000465F" w14:paraId="36139C3F" w14:textId="77777777" w:rsidTr="000E02A8">
        <w:trPr>
          <w:trHeight w:val="1701"/>
        </w:trPr>
        <w:tc>
          <w:tcPr>
            <w:tcW w:w="4535" w:type="dxa"/>
            <w:tcBorders>
              <w:right w:val="single" w:sz="2" w:space="0" w:color="58595B" w:themeColor="accent4"/>
            </w:tcBorders>
            <w:shd w:val="clear" w:color="auto" w:fill="F6F6F6"/>
            <w:vAlign w:val="center"/>
          </w:tcPr>
          <w:p w14:paraId="588327C6" w14:textId="53E64509" w:rsidR="005E0B40" w:rsidRPr="0000465F" w:rsidRDefault="00705380" w:rsidP="005E0B40">
            <w:pPr>
              <w:pStyle w:val="AEMCTableBodyCopyNumbers"/>
              <w:numPr>
                <w:ilvl w:val="0"/>
                <w:numId w:val="15"/>
              </w:numPr>
              <w:rPr>
                <w:rStyle w:val="Hyperlink"/>
              </w:rPr>
            </w:pPr>
            <w:r w:rsidRPr="00705380">
              <w:t>Is it necessary and/or appropriate for DNSPs to be able to defer the payment of transmission charges to TNSPs under the proposed deferral mechanism? To what extent would this change the overall impact of the proposal on DNSPs? What would the impact of this approach be on TNSPs?</w:t>
            </w:r>
            <w:r w:rsidR="005E0B40">
              <w:t xml:space="preserve">  </w:t>
            </w:r>
          </w:p>
        </w:tc>
        <w:tc>
          <w:tcPr>
            <w:tcW w:w="10091" w:type="dxa"/>
            <w:tcBorders>
              <w:left w:val="single" w:sz="2" w:space="0" w:color="58595B" w:themeColor="accent4"/>
            </w:tcBorders>
            <w:vAlign w:val="center"/>
          </w:tcPr>
          <w:p w14:paraId="3A99B723" w14:textId="77777777" w:rsidR="005E0B40" w:rsidRPr="00785222" w:rsidRDefault="005E0B40" w:rsidP="000E02A8">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747464E4" w14:textId="77777777" w:rsidTr="000E02A8">
        <w:trPr>
          <w:trHeight w:val="850"/>
        </w:trPr>
        <w:tc>
          <w:tcPr>
            <w:tcW w:w="4535" w:type="dxa"/>
            <w:tcBorders>
              <w:right w:val="single" w:sz="2" w:space="0" w:color="58595B" w:themeColor="accent4"/>
            </w:tcBorders>
            <w:shd w:val="clear" w:color="auto" w:fill="F6F6F6"/>
            <w:vAlign w:val="center"/>
          </w:tcPr>
          <w:p w14:paraId="295DF142" w14:textId="5A04E732" w:rsidR="005E0B40" w:rsidRPr="0000465F" w:rsidRDefault="00705380" w:rsidP="005E0B40">
            <w:pPr>
              <w:pStyle w:val="AEMCTableBodyCopyNumbers"/>
              <w:numPr>
                <w:ilvl w:val="0"/>
                <w:numId w:val="15"/>
              </w:numPr>
              <w:rPr>
                <w:rStyle w:val="Hyperlink"/>
              </w:rPr>
            </w:pPr>
            <w:r w:rsidRPr="00705380">
              <w:t>Do stakeholders have views on how the deferral of payments from DNSPs to TNSPs would be implemented in practice? What issues would need to be addressed in the regulatory framework to facilitate this?</w:t>
            </w:r>
            <w:r w:rsidR="005E0B40">
              <w:t xml:space="preserve">  </w:t>
            </w:r>
          </w:p>
        </w:tc>
        <w:tc>
          <w:tcPr>
            <w:tcW w:w="10091" w:type="dxa"/>
            <w:tcBorders>
              <w:left w:val="single" w:sz="2" w:space="0" w:color="58595B" w:themeColor="accent4"/>
            </w:tcBorders>
            <w:vAlign w:val="center"/>
          </w:tcPr>
          <w:p w14:paraId="13FD38B0" w14:textId="77777777" w:rsidR="005E0B40" w:rsidRPr="00785222" w:rsidRDefault="005E0B40"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16607E78" w14:textId="10B4FED7" w:rsidR="00D17ED4" w:rsidRDefault="00D17ED4" w:rsidP="00D17ED4">
      <w:pPr>
        <w:pStyle w:val="AEMCBodyCopy"/>
        <w:rPr>
          <w:rStyle w:val="Hyperlink"/>
          <w:b/>
        </w:rPr>
      </w:pPr>
    </w:p>
    <w:p w14:paraId="0AA1419F" w14:textId="77777777" w:rsidR="00D17ED4" w:rsidRDefault="00D17ED4">
      <w:pPr>
        <w:spacing w:line="259" w:lineRule="auto"/>
        <w:rPr>
          <w:rStyle w:val="Hyperlink"/>
          <w:b/>
        </w:rPr>
      </w:pPr>
      <w:r>
        <w:rPr>
          <w:rStyle w:val="Hyperlink"/>
          <w:b/>
        </w:rPr>
        <w:br w:type="page"/>
      </w:r>
    </w:p>
    <w:p w14:paraId="225C97C4" w14:textId="4F23E617" w:rsidR="005E0B40" w:rsidRDefault="005E0B40" w:rsidP="005E0B40">
      <w:pPr>
        <w:pStyle w:val="AEMCHeaderL4"/>
        <w:rPr>
          <w:rStyle w:val="Hyperlink"/>
        </w:rPr>
      </w:pPr>
      <w:r w:rsidRPr="0015555C">
        <w:rPr>
          <w:rStyle w:val="Hyperlink"/>
          <w:b/>
        </w:rPr>
        <w:lastRenderedPageBreak/>
        <w:t xml:space="preserve">CHAPTER </w:t>
      </w:r>
      <w:r>
        <w:rPr>
          <w:rStyle w:val="Hyperlink"/>
          <w:b/>
        </w:rPr>
        <w:t>4</w:t>
      </w:r>
      <w:r>
        <w:rPr>
          <w:rStyle w:val="Hyperlink"/>
        </w:rPr>
        <w:t xml:space="preserve"> – sECTION 4.</w:t>
      </w:r>
      <w:r w:rsidR="00705380">
        <w:rPr>
          <w:rStyle w:val="Hyperlink"/>
        </w:rPr>
        <w:t>3</w:t>
      </w:r>
      <w:r>
        <w:rPr>
          <w:rStyle w:val="Hyperlink"/>
        </w:rPr>
        <w:t xml:space="preserve"> – </w:t>
      </w:r>
      <w:r w:rsidR="00705380">
        <w:rPr>
          <w:rStyle w:val="Hyperlink"/>
        </w:rPr>
        <w:t>practical implementation of payment deferrals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5E0B40" w:rsidRPr="0000465F" w14:paraId="3A511AF7" w14:textId="77777777" w:rsidTr="000E02A8">
        <w:trPr>
          <w:trHeight w:val="567"/>
        </w:trPr>
        <w:tc>
          <w:tcPr>
            <w:tcW w:w="14626" w:type="dxa"/>
            <w:gridSpan w:val="2"/>
            <w:tcBorders>
              <w:top w:val="single" w:sz="18" w:space="0" w:color="00A8E5" w:themeColor="accent1"/>
            </w:tcBorders>
            <w:shd w:val="clear" w:color="auto" w:fill="F6F6F6"/>
            <w:vAlign w:val="center"/>
          </w:tcPr>
          <w:p w14:paraId="553701E9" w14:textId="1502DF54" w:rsidR="005E0B40" w:rsidRPr="00F72FFE" w:rsidRDefault="005E0B40" w:rsidP="000E02A8">
            <w:pPr>
              <w:pStyle w:val="AEMCTableBodyCopy"/>
              <w:rPr>
                <w:rStyle w:val="Hyperlink"/>
                <w:b/>
              </w:rPr>
            </w:pPr>
            <w:r>
              <w:rPr>
                <w:rStyle w:val="Hyperlink"/>
                <w:b/>
              </w:rPr>
              <w:t xml:space="preserve">Question </w:t>
            </w:r>
            <w:r w:rsidR="00705380">
              <w:rPr>
                <w:rStyle w:val="Hyperlink"/>
                <w:b/>
              </w:rPr>
              <w:t>7</w:t>
            </w:r>
            <w:r>
              <w:rPr>
                <w:rStyle w:val="Hyperlink"/>
                <w:b/>
              </w:rPr>
              <w:t xml:space="preserve"> – </w:t>
            </w:r>
            <w:r w:rsidR="00705380">
              <w:rPr>
                <w:rStyle w:val="Hyperlink"/>
                <w:b/>
              </w:rPr>
              <w:t>Process for deferring payment of network charges</w:t>
            </w:r>
          </w:p>
        </w:tc>
      </w:tr>
      <w:tr w:rsidR="005E0B40" w:rsidRPr="0000465F" w14:paraId="26308162" w14:textId="77777777" w:rsidTr="000E02A8">
        <w:trPr>
          <w:trHeight w:val="1701"/>
        </w:trPr>
        <w:tc>
          <w:tcPr>
            <w:tcW w:w="4535" w:type="dxa"/>
            <w:tcBorders>
              <w:right w:val="single" w:sz="2" w:space="0" w:color="58595B" w:themeColor="accent4"/>
            </w:tcBorders>
            <w:shd w:val="clear" w:color="auto" w:fill="F6F6F6"/>
            <w:vAlign w:val="center"/>
          </w:tcPr>
          <w:p w14:paraId="54844EF8" w14:textId="48BBE4BF" w:rsidR="005E0B40" w:rsidRPr="0000465F" w:rsidRDefault="00705380" w:rsidP="00D17ED4">
            <w:pPr>
              <w:pStyle w:val="AEMCTableBodyCopyNumbers"/>
              <w:numPr>
                <w:ilvl w:val="0"/>
                <w:numId w:val="16"/>
              </w:numPr>
              <w:rPr>
                <w:rStyle w:val="Hyperlink"/>
              </w:rPr>
            </w:pPr>
            <w:r w:rsidRPr="00705380">
              <w:t>Do stakeholders have views on appropriate processes which could be adopted to facilitate the proposed payment deferrals in an expedient manner?</w:t>
            </w:r>
            <w:r w:rsidR="00D17ED4">
              <w:t xml:space="preserve">  </w:t>
            </w:r>
          </w:p>
        </w:tc>
        <w:tc>
          <w:tcPr>
            <w:tcW w:w="10091" w:type="dxa"/>
            <w:tcBorders>
              <w:left w:val="single" w:sz="2" w:space="0" w:color="58595B" w:themeColor="accent4"/>
            </w:tcBorders>
            <w:vAlign w:val="center"/>
          </w:tcPr>
          <w:p w14:paraId="72D666BE" w14:textId="77777777" w:rsidR="005E0B40" w:rsidRPr="00785222" w:rsidRDefault="005E0B40" w:rsidP="000E02A8">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5E0B40" w:rsidRPr="0000465F" w14:paraId="189929D0" w14:textId="77777777" w:rsidTr="000E02A8">
        <w:trPr>
          <w:trHeight w:val="850"/>
        </w:trPr>
        <w:tc>
          <w:tcPr>
            <w:tcW w:w="4535" w:type="dxa"/>
            <w:tcBorders>
              <w:right w:val="single" w:sz="2" w:space="0" w:color="58595B" w:themeColor="accent4"/>
            </w:tcBorders>
            <w:shd w:val="clear" w:color="auto" w:fill="F6F6F6"/>
            <w:vAlign w:val="center"/>
          </w:tcPr>
          <w:p w14:paraId="2DE057E8" w14:textId="53A835E7" w:rsidR="005E0B40" w:rsidRPr="0000465F" w:rsidRDefault="00705380" w:rsidP="00D17ED4">
            <w:pPr>
              <w:pStyle w:val="AEMCTableBodyCopyNumbers"/>
              <w:numPr>
                <w:ilvl w:val="0"/>
                <w:numId w:val="16"/>
              </w:numPr>
              <w:rPr>
                <w:rStyle w:val="Hyperlink"/>
              </w:rPr>
            </w:pPr>
            <w:r w:rsidRPr="00705380">
              <w:t>Could the processes agreed between retailers and NSPs for implementing the Network Relief Package also be used to implement the AER's proposal?</w:t>
            </w:r>
            <w:r w:rsidR="00D17ED4">
              <w:t xml:space="preserve">  </w:t>
            </w:r>
          </w:p>
        </w:tc>
        <w:tc>
          <w:tcPr>
            <w:tcW w:w="10091" w:type="dxa"/>
            <w:tcBorders>
              <w:left w:val="single" w:sz="2" w:space="0" w:color="58595B" w:themeColor="accent4"/>
            </w:tcBorders>
            <w:vAlign w:val="center"/>
          </w:tcPr>
          <w:p w14:paraId="129927D1" w14:textId="77777777" w:rsidR="005E0B40" w:rsidRPr="00785222" w:rsidRDefault="005E0B40" w:rsidP="000E02A8">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D17ED4" w:rsidRPr="0000465F" w14:paraId="2B9E4617" w14:textId="77777777" w:rsidTr="000E02A8">
        <w:trPr>
          <w:trHeight w:val="850"/>
        </w:trPr>
        <w:tc>
          <w:tcPr>
            <w:tcW w:w="4535" w:type="dxa"/>
            <w:tcBorders>
              <w:right w:val="single" w:sz="2" w:space="0" w:color="58595B" w:themeColor="accent4"/>
            </w:tcBorders>
            <w:shd w:val="clear" w:color="auto" w:fill="F6F6F6"/>
            <w:vAlign w:val="center"/>
          </w:tcPr>
          <w:p w14:paraId="49032651" w14:textId="791EE9CA" w:rsidR="00D17ED4" w:rsidRDefault="00705380" w:rsidP="00D17ED4">
            <w:pPr>
              <w:pStyle w:val="AEMCTableBodyCopyNumbers"/>
              <w:numPr>
                <w:ilvl w:val="0"/>
                <w:numId w:val="16"/>
              </w:numPr>
            </w:pPr>
            <w:r w:rsidRPr="00705380">
              <w:t>If the details of this process are not prescribed in the NER, what alternative approaches would ensure that the payment deferrals could be administered in a transparent, consistent and efficient manner? Is it feasible for the details of this process to be directly agreed between NSPs and retailers?</w:t>
            </w:r>
            <w:r w:rsidR="00D17ED4">
              <w:t xml:space="preserve">  </w:t>
            </w:r>
          </w:p>
        </w:tc>
        <w:tc>
          <w:tcPr>
            <w:tcW w:w="10091" w:type="dxa"/>
            <w:tcBorders>
              <w:left w:val="single" w:sz="2" w:space="0" w:color="58595B" w:themeColor="accent4"/>
            </w:tcBorders>
            <w:vAlign w:val="center"/>
          </w:tcPr>
          <w:p w14:paraId="18E1DB14" w14:textId="58AF8C28" w:rsidR="00D17ED4" w:rsidRPr="00785222" w:rsidRDefault="00D17ED4" w:rsidP="00D17ED4">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bl>
    <w:p w14:paraId="7509F9B4" w14:textId="711AFB48" w:rsidR="00705380" w:rsidRDefault="00705380" w:rsidP="00B933EC">
      <w:pPr>
        <w:pStyle w:val="AEMCHeaderL4"/>
      </w:pPr>
      <w:r>
        <w:br w:type="page"/>
      </w:r>
    </w:p>
    <w:p w14:paraId="7F985731" w14:textId="64B7BA94" w:rsidR="00705380" w:rsidRDefault="00705380" w:rsidP="00705380">
      <w:pPr>
        <w:pStyle w:val="AEMCHeaderL4"/>
        <w:rPr>
          <w:rStyle w:val="Hyperlink"/>
        </w:rPr>
      </w:pPr>
      <w:r w:rsidRPr="0015555C">
        <w:rPr>
          <w:rStyle w:val="Hyperlink"/>
          <w:b/>
        </w:rPr>
        <w:lastRenderedPageBreak/>
        <w:t xml:space="preserve">CHAPTER </w:t>
      </w:r>
      <w:r>
        <w:rPr>
          <w:rStyle w:val="Hyperlink"/>
          <w:b/>
        </w:rPr>
        <w:t>4</w:t>
      </w:r>
      <w:r>
        <w:rPr>
          <w:rStyle w:val="Hyperlink"/>
        </w:rPr>
        <w:t xml:space="preserve"> – sECTION 4.4 – impact on nsps</w:t>
      </w:r>
    </w:p>
    <w:tbl>
      <w:tblPr>
        <w:tblStyle w:val="TableGrid"/>
        <w:tblW w:w="0" w:type="auto"/>
        <w:tblBorders>
          <w:top w:val="single" w:sz="2" w:space="0" w:color="58595B" w:themeColor="accent4"/>
          <w:left w:val="none" w:sz="0" w:space="0" w:color="auto"/>
          <w:bottom w:val="single" w:sz="2" w:space="0" w:color="58595B" w:themeColor="accent4"/>
          <w:right w:val="none" w:sz="0" w:space="0" w:color="auto"/>
          <w:insideH w:val="single" w:sz="2" w:space="0" w:color="58595B" w:themeColor="accent4"/>
          <w:insideV w:val="none" w:sz="0" w:space="0" w:color="auto"/>
        </w:tblBorders>
        <w:tblCellMar>
          <w:left w:w="57" w:type="dxa"/>
          <w:right w:w="57" w:type="dxa"/>
        </w:tblCellMar>
        <w:tblLook w:val="04A0" w:firstRow="1" w:lastRow="0" w:firstColumn="1" w:lastColumn="0" w:noHBand="0" w:noVBand="1"/>
      </w:tblPr>
      <w:tblGrid>
        <w:gridCol w:w="4535"/>
        <w:gridCol w:w="10091"/>
      </w:tblGrid>
      <w:tr w:rsidR="00705380" w:rsidRPr="0000465F" w14:paraId="04D150B4" w14:textId="77777777" w:rsidTr="00383D2E">
        <w:trPr>
          <w:trHeight w:val="567"/>
        </w:trPr>
        <w:tc>
          <w:tcPr>
            <w:tcW w:w="14626" w:type="dxa"/>
            <w:gridSpan w:val="2"/>
            <w:tcBorders>
              <w:top w:val="single" w:sz="18" w:space="0" w:color="00A8E5" w:themeColor="accent1"/>
            </w:tcBorders>
            <w:shd w:val="clear" w:color="auto" w:fill="F6F6F6"/>
            <w:vAlign w:val="center"/>
          </w:tcPr>
          <w:p w14:paraId="1255E8D1" w14:textId="4C51D5DD" w:rsidR="00705380" w:rsidRPr="00F72FFE" w:rsidRDefault="00705380" w:rsidP="00383D2E">
            <w:pPr>
              <w:pStyle w:val="AEMCTableBodyCopy"/>
              <w:rPr>
                <w:rStyle w:val="Hyperlink"/>
                <w:b/>
              </w:rPr>
            </w:pPr>
            <w:r>
              <w:rPr>
                <w:rStyle w:val="Hyperlink"/>
                <w:b/>
              </w:rPr>
              <w:t>Question 8 – Impact of proposed deferral mechanism on NSPs</w:t>
            </w:r>
          </w:p>
        </w:tc>
      </w:tr>
      <w:tr w:rsidR="00705380" w:rsidRPr="0000465F" w14:paraId="23BEFF9C" w14:textId="77777777" w:rsidTr="00383D2E">
        <w:trPr>
          <w:trHeight w:val="1701"/>
        </w:trPr>
        <w:tc>
          <w:tcPr>
            <w:tcW w:w="4535" w:type="dxa"/>
            <w:tcBorders>
              <w:right w:val="single" w:sz="2" w:space="0" w:color="58595B" w:themeColor="accent4"/>
            </w:tcBorders>
            <w:shd w:val="clear" w:color="auto" w:fill="F6F6F6"/>
            <w:vAlign w:val="center"/>
          </w:tcPr>
          <w:p w14:paraId="6D11B466" w14:textId="2B60525B" w:rsidR="00705380" w:rsidRPr="0000465F" w:rsidRDefault="00705380" w:rsidP="00705380">
            <w:pPr>
              <w:pStyle w:val="AEMCTableBodyCopyNumbers"/>
              <w:numPr>
                <w:ilvl w:val="0"/>
                <w:numId w:val="19"/>
              </w:numPr>
              <w:rPr>
                <w:rStyle w:val="Hyperlink"/>
              </w:rPr>
            </w:pPr>
            <w:r w:rsidRPr="00705380">
              <w:t>Would a six-month deferral of the payment of network charges present a material</w:t>
            </w:r>
            <w:r>
              <w:t xml:space="preserve"> </w:t>
            </w:r>
            <w:r w:rsidRPr="00705380">
              <w:t>financial risk to NSPs? If so, are there ways of addressing or reducing these risks through the design of the deferral mechanism?</w:t>
            </w:r>
            <w:r>
              <w:t xml:space="preserve"> </w:t>
            </w:r>
          </w:p>
        </w:tc>
        <w:tc>
          <w:tcPr>
            <w:tcW w:w="10091" w:type="dxa"/>
            <w:tcBorders>
              <w:left w:val="single" w:sz="2" w:space="0" w:color="58595B" w:themeColor="accent4"/>
            </w:tcBorders>
            <w:vAlign w:val="center"/>
          </w:tcPr>
          <w:p w14:paraId="5B4290EF" w14:textId="77777777" w:rsidR="00705380" w:rsidRPr="00785222" w:rsidRDefault="00705380" w:rsidP="00383D2E">
            <w:pPr>
              <w:pStyle w:val="AEMCTableBodyCopy"/>
              <w:rPr>
                <w:rStyle w:val="Hyperlink"/>
              </w:rPr>
            </w:pPr>
            <w:r w:rsidRPr="00785222">
              <w:rPr>
                <w:rStyle w:val="Hyperlink"/>
              </w:rPr>
              <w:fldChar w:fldCharType="begin">
                <w:ffData>
                  <w:name w:val="Text14"/>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05380" w:rsidRPr="0000465F" w14:paraId="28879E61" w14:textId="77777777" w:rsidTr="00383D2E">
        <w:trPr>
          <w:trHeight w:val="850"/>
        </w:trPr>
        <w:tc>
          <w:tcPr>
            <w:tcW w:w="4535" w:type="dxa"/>
            <w:tcBorders>
              <w:right w:val="single" w:sz="2" w:space="0" w:color="58595B" w:themeColor="accent4"/>
            </w:tcBorders>
            <w:shd w:val="clear" w:color="auto" w:fill="F6F6F6"/>
            <w:vAlign w:val="center"/>
          </w:tcPr>
          <w:p w14:paraId="7160D4E4" w14:textId="35B91919" w:rsidR="00705380" w:rsidRPr="0000465F" w:rsidRDefault="00705380" w:rsidP="00383D2E">
            <w:pPr>
              <w:pStyle w:val="AEMCTableBodyCopyNumbers"/>
              <w:numPr>
                <w:ilvl w:val="0"/>
                <w:numId w:val="16"/>
              </w:numPr>
              <w:rPr>
                <w:rStyle w:val="Hyperlink"/>
              </w:rPr>
            </w:pPr>
            <w:r w:rsidRPr="00705380">
              <w:t>Do NSPs have views on whether, in practice, the annual pricing proposal process would allow NSPs to recover any deferred revenue in the following regulatory year as described above? Are there any issues that may arise in seeking to utilise this process for this purpose?</w:t>
            </w:r>
            <w:r>
              <w:t xml:space="preserve">  </w:t>
            </w:r>
          </w:p>
        </w:tc>
        <w:tc>
          <w:tcPr>
            <w:tcW w:w="10091" w:type="dxa"/>
            <w:tcBorders>
              <w:left w:val="single" w:sz="2" w:space="0" w:color="58595B" w:themeColor="accent4"/>
            </w:tcBorders>
            <w:vAlign w:val="center"/>
          </w:tcPr>
          <w:p w14:paraId="2AD42B23" w14:textId="77777777" w:rsidR="00705380" w:rsidRPr="00785222" w:rsidRDefault="00705380" w:rsidP="00383D2E">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05380" w:rsidRPr="0000465F" w14:paraId="461B7D52" w14:textId="77777777" w:rsidTr="00383D2E">
        <w:trPr>
          <w:trHeight w:val="850"/>
        </w:trPr>
        <w:tc>
          <w:tcPr>
            <w:tcW w:w="4535" w:type="dxa"/>
            <w:tcBorders>
              <w:right w:val="single" w:sz="2" w:space="0" w:color="58595B" w:themeColor="accent4"/>
            </w:tcBorders>
            <w:shd w:val="clear" w:color="auto" w:fill="F6F6F6"/>
            <w:vAlign w:val="center"/>
          </w:tcPr>
          <w:p w14:paraId="75D3BFB5" w14:textId="34C24B99" w:rsidR="00705380" w:rsidRDefault="00705380" w:rsidP="00383D2E">
            <w:pPr>
              <w:pStyle w:val="AEMCTableBodyCopyNumbers"/>
              <w:numPr>
                <w:ilvl w:val="0"/>
                <w:numId w:val="16"/>
              </w:numPr>
            </w:pPr>
            <w:r w:rsidRPr="00705380">
              <w:t>Do stakeholders have views on whether NSPs should be reimbursed for direct costs incurred as a result of the deferred payments and, if so, what would be the best mechanism for achieving this?</w:t>
            </w:r>
            <w:r>
              <w:t xml:space="preserve">  </w:t>
            </w:r>
          </w:p>
        </w:tc>
        <w:tc>
          <w:tcPr>
            <w:tcW w:w="10091" w:type="dxa"/>
            <w:tcBorders>
              <w:left w:val="single" w:sz="2" w:space="0" w:color="58595B" w:themeColor="accent4"/>
            </w:tcBorders>
            <w:vAlign w:val="center"/>
          </w:tcPr>
          <w:p w14:paraId="576E861A" w14:textId="77777777" w:rsidR="00705380" w:rsidRPr="00785222" w:rsidRDefault="00705380" w:rsidP="00383D2E">
            <w:pPr>
              <w:pStyle w:val="AEMCTableBodyCopy"/>
              <w:rPr>
                <w:rStyle w:val="Hyperlink"/>
              </w:rPr>
            </w:pPr>
            <w:r w:rsidRPr="00785222">
              <w:rPr>
                <w:rStyle w:val="Hyperlink"/>
              </w:rPr>
              <w:fldChar w:fldCharType="begin">
                <w:ffData>
                  <w:name w:val="Text15"/>
                  <w:enabled/>
                  <w:calcOnExit w:val="0"/>
                  <w:textInput/>
                </w:ffData>
              </w:fldChar>
            </w:r>
            <w:r w:rsidRPr="00785222">
              <w:rPr>
                <w:rStyle w:val="Hyperlink"/>
              </w:rPr>
              <w:instrText xml:space="preserve"> FORMTEXT </w:instrText>
            </w:r>
            <w:r w:rsidRPr="00785222">
              <w:rPr>
                <w:rStyle w:val="Hyperlink"/>
              </w:rPr>
            </w:r>
            <w:r w:rsidRPr="00785222">
              <w:rPr>
                <w:rStyle w:val="Hyperlink"/>
              </w:rPr>
              <w:fldChar w:fldCharType="separate"/>
            </w:r>
            <w:r>
              <w:rPr>
                <w:rStyle w:val="Hyperlink"/>
                <w:noProof/>
              </w:rPr>
              <w:t> </w:t>
            </w:r>
            <w:r>
              <w:rPr>
                <w:rStyle w:val="Hyperlink"/>
                <w:noProof/>
              </w:rPr>
              <w:t> </w:t>
            </w:r>
            <w:r>
              <w:rPr>
                <w:rStyle w:val="Hyperlink"/>
                <w:noProof/>
              </w:rPr>
              <w:t> </w:t>
            </w:r>
            <w:r>
              <w:rPr>
                <w:rStyle w:val="Hyperlink"/>
                <w:noProof/>
              </w:rPr>
              <w:t> </w:t>
            </w:r>
            <w:r>
              <w:rPr>
                <w:rStyle w:val="Hyperlink"/>
                <w:noProof/>
              </w:rPr>
              <w:t> </w:t>
            </w:r>
            <w:r w:rsidRPr="00785222">
              <w:rPr>
                <w:rStyle w:val="Hyperlink"/>
              </w:rPr>
              <w:fldChar w:fldCharType="end"/>
            </w:r>
          </w:p>
        </w:tc>
      </w:tr>
      <w:tr w:rsidR="00705380" w:rsidRPr="0000465F" w14:paraId="0C996954" w14:textId="77777777" w:rsidTr="00383D2E">
        <w:trPr>
          <w:trHeight w:val="850"/>
        </w:trPr>
        <w:tc>
          <w:tcPr>
            <w:tcW w:w="4535" w:type="dxa"/>
            <w:tcBorders>
              <w:right w:val="single" w:sz="2" w:space="0" w:color="58595B" w:themeColor="accent4"/>
            </w:tcBorders>
            <w:shd w:val="clear" w:color="auto" w:fill="F6F6F6"/>
            <w:vAlign w:val="center"/>
          </w:tcPr>
          <w:p w14:paraId="363A2B05" w14:textId="2F2B99E9" w:rsidR="00705380" w:rsidRPr="00705380" w:rsidRDefault="00705380" w:rsidP="00383D2E">
            <w:pPr>
              <w:pStyle w:val="AEMCTableBodyCopyNumbers"/>
              <w:numPr>
                <w:ilvl w:val="0"/>
                <w:numId w:val="16"/>
              </w:numPr>
            </w:pPr>
            <w:r w:rsidRPr="00705380">
              <w:t>If NSPs were to be reimbursed for their efficient costs (as well as recovering their total regulated revenue), do NSPs consider there would be any residual risk to their business arising from the deferral of network charges?</w:t>
            </w:r>
          </w:p>
        </w:tc>
        <w:tc>
          <w:tcPr>
            <w:tcW w:w="10091" w:type="dxa"/>
            <w:tcBorders>
              <w:left w:val="single" w:sz="2" w:space="0" w:color="58595B" w:themeColor="accent4"/>
            </w:tcBorders>
            <w:vAlign w:val="center"/>
          </w:tcPr>
          <w:p w14:paraId="70912DDD" w14:textId="77777777" w:rsidR="00705380" w:rsidRPr="00785222" w:rsidRDefault="00705380" w:rsidP="00383D2E">
            <w:pPr>
              <w:pStyle w:val="AEMCTableBodyCopy"/>
              <w:rPr>
                <w:rStyle w:val="Hyperlink"/>
              </w:rPr>
            </w:pPr>
          </w:p>
        </w:tc>
      </w:tr>
    </w:tbl>
    <w:p w14:paraId="27A37F84" w14:textId="77777777" w:rsidR="00705380" w:rsidRPr="0015555C" w:rsidRDefault="00705380" w:rsidP="00705380">
      <w:pPr>
        <w:pStyle w:val="AEMCHeaderL4"/>
      </w:pPr>
    </w:p>
    <w:p w14:paraId="3326EAE6" w14:textId="7A1B2CF3" w:rsidR="009E7726" w:rsidRPr="0015555C" w:rsidRDefault="009E7726" w:rsidP="00B933EC">
      <w:pPr>
        <w:pStyle w:val="AEMCHeaderL4"/>
      </w:pPr>
    </w:p>
    <w:sectPr w:rsidR="009E7726" w:rsidRPr="0015555C" w:rsidSect="00B933EC">
      <w:headerReference w:type="default" r:id="rId12"/>
      <w:footerReference w:type="default" r:id="rId13"/>
      <w:headerReference w:type="first" r:id="rId14"/>
      <w:footerReference w:type="first" r:id="rId15"/>
      <w:pgSz w:w="16840" w:h="11901" w:orient="landscape" w:code="9"/>
      <w:pgMar w:top="2269" w:right="1134" w:bottom="1418" w:left="851" w:header="87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5129A8" w14:textId="77777777" w:rsidR="00C63FCA" w:rsidRDefault="00C63FCA" w:rsidP="00E768E2">
      <w:r>
        <w:separator/>
      </w:r>
    </w:p>
    <w:p w14:paraId="4EB7BB77" w14:textId="77777777" w:rsidR="00C63FCA" w:rsidRDefault="00C63FCA" w:rsidP="00E768E2"/>
    <w:p w14:paraId="799FAF3A" w14:textId="77777777" w:rsidR="00C63FCA" w:rsidRDefault="00C63FCA" w:rsidP="00E768E2"/>
    <w:p w14:paraId="7E122C98" w14:textId="77777777" w:rsidR="00C63FCA" w:rsidRDefault="00C63FCA" w:rsidP="00E768E2"/>
    <w:p w14:paraId="1A45AC0C" w14:textId="77777777" w:rsidR="00C63FCA" w:rsidRDefault="00C63FCA"/>
    <w:p w14:paraId="7DE60054" w14:textId="77777777" w:rsidR="00C63FCA" w:rsidRDefault="00C63FCA"/>
  </w:endnote>
  <w:endnote w:type="continuationSeparator" w:id="0">
    <w:p w14:paraId="657F177C" w14:textId="77777777" w:rsidR="00C63FCA" w:rsidRDefault="00C63FCA" w:rsidP="00E768E2">
      <w:r>
        <w:continuationSeparator/>
      </w:r>
    </w:p>
    <w:p w14:paraId="57B4E2C3" w14:textId="77777777" w:rsidR="00C63FCA" w:rsidRDefault="00C63FCA" w:rsidP="00E768E2"/>
    <w:p w14:paraId="516C3033" w14:textId="77777777" w:rsidR="00C63FCA" w:rsidRDefault="00C63FCA" w:rsidP="00E768E2"/>
    <w:p w14:paraId="3E81FACE" w14:textId="77777777" w:rsidR="00C63FCA" w:rsidRDefault="00C63FCA" w:rsidP="00E768E2"/>
    <w:p w14:paraId="1B7F885B" w14:textId="77777777" w:rsidR="00C63FCA" w:rsidRDefault="00C63FCA"/>
    <w:p w14:paraId="069EC488" w14:textId="77777777" w:rsidR="00C63FCA" w:rsidRDefault="00C63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dy CS)">
    <w:altName w:val="Times New Roman"/>
    <w:charset w:val="00"/>
    <w:family w:val="roman"/>
    <w:pitch w:val="variable"/>
    <w:sig w:usb0="E0002AEF" w:usb1="C0007841" w:usb2="00000009" w:usb3="00000000" w:csb0="000001FF" w:csb1="00000000"/>
  </w:font>
  <w:font w:name="BDDKD P+ Tahoma">
    <w:altName w:val="Tahom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996CE9" w14:textId="77777777" w:rsidR="002B679B" w:rsidRPr="004B34C2" w:rsidRDefault="002B679B" w:rsidP="004B34C2">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2</w:t>
    </w:r>
    <w:r w:rsidRPr="00D260FB">
      <w:rPr>
        <w:rStyle w:val="PageNumber"/>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0E115" w14:textId="77777777" w:rsidR="002B679B" w:rsidRPr="008F5900" w:rsidRDefault="002B679B" w:rsidP="008F5900">
    <w:pPr>
      <w:pStyle w:val="Footer"/>
      <w:rPr>
        <w:b/>
        <w:lang w:val="en-AU"/>
      </w:rPr>
    </w:pPr>
    <w:r w:rsidRPr="00D260FB">
      <w:rPr>
        <w:b/>
        <w:color w:val="00A8E5" w:themeColor="accent1"/>
        <w:lang w:val="en-AU"/>
      </w:rPr>
      <w:t>|</w:t>
    </w:r>
    <w:r w:rsidRPr="00D260FB">
      <w:rPr>
        <w:b/>
        <w:lang w:val="en-AU"/>
      </w:rPr>
      <w:t xml:space="preserve"> </w:t>
    </w:r>
    <w:r w:rsidRPr="00D260FB">
      <w:rPr>
        <w:rStyle w:val="PageNumber"/>
        <w:b/>
      </w:rPr>
      <w:fldChar w:fldCharType="begin"/>
    </w:r>
    <w:r w:rsidRPr="00D260FB">
      <w:rPr>
        <w:rStyle w:val="PageNumber"/>
        <w:b/>
      </w:rPr>
      <w:instrText xml:space="preserve"> PAGE </w:instrText>
    </w:r>
    <w:r w:rsidRPr="00D260FB">
      <w:rPr>
        <w:rStyle w:val="PageNumber"/>
        <w:b/>
      </w:rPr>
      <w:fldChar w:fldCharType="separate"/>
    </w:r>
    <w:r w:rsidR="001D4059">
      <w:rPr>
        <w:rStyle w:val="PageNumber"/>
        <w:b/>
        <w:noProof/>
      </w:rPr>
      <w:t>1</w:t>
    </w:r>
    <w:r w:rsidRPr="00D260FB">
      <w:rPr>
        <w:rStyle w:val="PageNumber"/>
        <w: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508F3" w14:textId="77777777" w:rsidR="00C63FCA" w:rsidRDefault="00C63FCA">
      <w:r>
        <w:separator/>
      </w:r>
    </w:p>
  </w:footnote>
  <w:footnote w:type="continuationSeparator" w:id="0">
    <w:p w14:paraId="4BAA8CE3" w14:textId="77777777" w:rsidR="00C63FCA" w:rsidRDefault="00C63FCA" w:rsidP="00E768E2">
      <w:r>
        <w:continuationSeparator/>
      </w:r>
    </w:p>
    <w:p w14:paraId="68EBADA4" w14:textId="77777777" w:rsidR="00C63FCA" w:rsidRDefault="00C63FCA" w:rsidP="00E768E2"/>
    <w:p w14:paraId="347149DD" w14:textId="77777777" w:rsidR="00C63FCA" w:rsidRDefault="00C63FCA" w:rsidP="00E768E2"/>
    <w:p w14:paraId="792B8297" w14:textId="77777777" w:rsidR="00C63FCA" w:rsidRDefault="00C63FCA" w:rsidP="00E768E2"/>
    <w:p w14:paraId="153DDCDC" w14:textId="77777777" w:rsidR="00C63FCA" w:rsidRDefault="00C63FCA"/>
    <w:p w14:paraId="014E9D19" w14:textId="77777777" w:rsidR="00C63FCA" w:rsidRDefault="00C63FC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0" w:type="auto"/>
      <w:tblBorders>
        <w:top w:val="none" w:sz="0" w:space="0" w:color="auto"/>
        <w:left w:val="single" w:sz="12" w:space="0" w:color="00A8E5" w:themeColor="accent1"/>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47"/>
    </w:tblGrid>
    <w:tr w:rsidR="002B679B" w14:paraId="55470BCA" w14:textId="77777777" w:rsidTr="00C14DB5">
      <w:trPr>
        <w:trHeight w:val="680"/>
      </w:trPr>
      <w:tc>
        <w:tcPr>
          <w:tcW w:w="8147" w:type="dxa"/>
        </w:tcPr>
        <w:p w14:paraId="5BC0FAC4" w14:textId="77777777" w:rsidR="002B679B" w:rsidRPr="00D260FB" w:rsidRDefault="002B679B" w:rsidP="00D260FB">
          <w:pPr>
            <w:pStyle w:val="Header"/>
            <w:ind w:left="85"/>
            <w:rPr>
              <w:b/>
              <w:lang w:val="en-AU"/>
            </w:rPr>
          </w:pPr>
          <w:r>
            <w:rPr>
              <w:b/>
              <w:lang w:val="en-AU"/>
            </w:rPr>
            <w:t>Stakeholder feedback</w:t>
          </w:r>
        </w:p>
        <w:p w14:paraId="156124E5" w14:textId="12F1FE4A" w:rsidR="002B679B" w:rsidRDefault="00C31E1E" w:rsidP="009E7726">
          <w:pPr>
            <w:pStyle w:val="Header"/>
            <w:tabs>
              <w:tab w:val="clear" w:pos="4513"/>
              <w:tab w:val="clear" w:pos="9026"/>
              <w:tab w:val="left" w:pos="2240"/>
            </w:tabs>
            <w:ind w:left="85"/>
            <w:rPr>
              <w:lang w:val="en-AU"/>
            </w:rPr>
          </w:pPr>
          <w:r>
            <w:rPr>
              <w:lang w:val="en-AU"/>
            </w:rPr>
            <w:t>Deferral of network charges</w:t>
          </w:r>
        </w:p>
        <w:p w14:paraId="4AD12A0D" w14:textId="6ECDD9F7" w:rsidR="002B679B" w:rsidRDefault="00C31E1E" w:rsidP="009E7726">
          <w:pPr>
            <w:pStyle w:val="Header"/>
            <w:ind w:left="85"/>
            <w:rPr>
              <w:lang w:val="en-AU"/>
            </w:rPr>
          </w:pPr>
          <w:r>
            <w:rPr>
              <w:lang w:val="en-AU"/>
            </w:rPr>
            <w:t>28</w:t>
          </w:r>
          <w:r w:rsidR="002B679B">
            <w:rPr>
              <w:lang w:val="en-AU"/>
            </w:rPr>
            <w:t xml:space="preserve"> Ma</w:t>
          </w:r>
          <w:r w:rsidR="00D17ED4">
            <w:rPr>
              <w:lang w:val="en-AU"/>
            </w:rPr>
            <w:t>y</w:t>
          </w:r>
          <w:r w:rsidR="002B679B">
            <w:rPr>
              <w:lang w:val="en-AU"/>
            </w:rPr>
            <w:t xml:space="preserve"> 20</w:t>
          </w:r>
          <w:r w:rsidR="00D17ED4">
            <w:rPr>
              <w:lang w:val="en-AU"/>
            </w:rPr>
            <w:t>20</w:t>
          </w:r>
        </w:p>
      </w:tc>
    </w:tr>
  </w:tbl>
  <w:p w14:paraId="219C20C6" w14:textId="77777777" w:rsidR="002B679B" w:rsidRPr="004B34C2" w:rsidRDefault="002B679B" w:rsidP="004B34C2">
    <w:pPr>
      <w:pStyle w:val="Header"/>
      <w:rPr>
        <w:lang w:val="en-AU"/>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F164A5" w14:textId="77777777" w:rsidR="002B679B" w:rsidRDefault="002B679B">
    <w:pPr>
      <w:pStyle w:val="Header"/>
    </w:pPr>
    <w:r w:rsidRPr="00F73126">
      <w:rPr>
        <w:noProof/>
        <w:sz w:val="36"/>
        <w:szCs w:val="36"/>
        <w:lang w:val="en-AU" w:eastAsia="en-AU"/>
      </w:rPr>
      <mc:AlternateContent>
        <mc:Choice Requires="wps">
          <w:drawing>
            <wp:anchor distT="0" distB="0" distL="114300" distR="114300" simplePos="0" relativeHeight="251660800" behindDoc="1" locked="0" layoutInCell="1" allowOverlap="0" wp14:anchorId="4051D5C4" wp14:editId="1E82A788">
              <wp:simplePos x="0" y="0"/>
              <wp:positionH relativeFrom="page">
                <wp:posOffset>720090</wp:posOffset>
              </wp:positionH>
              <wp:positionV relativeFrom="page">
                <wp:posOffset>2127885</wp:posOffset>
              </wp:positionV>
              <wp:extent cx="617220" cy="0"/>
              <wp:effectExtent l="0" t="0" r="11430" b="19050"/>
              <wp:wrapNone/>
              <wp:docPr id="6" name="Straight Connector 6"/>
              <wp:cNvGraphicFramePr/>
              <a:graphic xmlns:a="http://schemas.openxmlformats.org/drawingml/2006/main">
                <a:graphicData uri="http://schemas.microsoft.com/office/word/2010/wordprocessingShape">
                  <wps:wsp>
                    <wps:cNvCnPr/>
                    <wps:spPr>
                      <a:xfrm>
                        <a:off x="0" y="0"/>
                        <a:ext cx="617220"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A284B57" id="Straight Connector 6" o:spid="_x0000_s1026" style="position:absolute;z-index:-251655680;visibility:visible;mso-wrap-style:square;mso-width-percent:0;mso-wrap-distance-left:9pt;mso-wrap-distance-top:0;mso-wrap-distance-right:9pt;mso-wrap-distance-bottom:0;mso-position-horizontal:absolute;mso-position-horizontal-relative:page;mso-position-vertical:absolute;mso-position-vertical-relative:page;mso-width-percent:0;mso-width-relative:margin" from="56.7pt,167.55pt" to="105.3pt,1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" o:allowoverlap="f" strokecolor="#00a8e5 [3204]" strokeweight="1.5pt">
              <w10:wrap anchorx="page" anchory="page"/>
            </v:line>
          </w:pict>
        </mc:Fallback>
      </mc:AlternateContent>
    </w:r>
    <w:r>
      <w:rPr>
        <w:noProof/>
        <w:lang w:val="en-AU" w:eastAsia="en-AU"/>
      </w:rPr>
      <w:drawing>
        <wp:inline distT="0" distB="0" distL="0" distR="0" wp14:anchorId="1561D264" wp14:editId="64D112D4">
          <wp:extent cx="1080000" cy="2548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AEMC_Grey_NoGraphic.png"/>
                  <pic:cNvPicPr/>
                </pic:nvPicPr>
                <pic:blipFill>
                  <a:blip r:embed="rId1">
                    <a:extLst>
                      <a:ext uri="{28A0092B-C50C-407E-A947-70E740481C1C}">
                        <a14:useLocalDpi xmlns:a14="http://schemas.microsoft.com/office/drawing/2010/main" val="0"/>
                      </a:ext>
                    </a:extLst>
                  </a:blip>
                  <a:stretch>
                    <a:fillRect/>
                  </a:stretch>
                </pic:blipFill>
                <pic:spPr>
                  <a:xfrm>
                    <a:off x="0" y="0"/>
                    <a:ext cx="1080000" cy="2548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3D14C0"/>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D727CA"/>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6746EEE"/>
    <w:multiLevelType w:val="multilevel"/>
    <w:tmpl w:val="C70CADCA"/>
    <w:lvl w:ilvl="0">
      <w:start w:val="1"/>
      <w:numFmt w:val="bullet"/>
      <w:pStyle w:val="AEMCFootnoteBullets"/>
      <w:lvlText w:val=""/>
      <w:lvlJc w:val="left"/>
      <w:pPr>
        <w:tabs>
          <w:tab w:val="num" w:pos="340"/>
        </w:tabs>
        <w:ind w:left="340" w:hanging="227"/>
      </w:pPr>
      <w:rPr>
        <w:rFonts w:ascii="Symbol" w:hAnsi="Symbol" w:hint="default"/>
        <w:color w:val="00A8E5"/>
      </w:rPr>
    </w:lvl>
    <w:lvl w:ilvl="1">
      <w:start w:val="1"/>
      <w:numFmt w:val="bullet"/>
      <w:lvlText w:val=""/>
      <w:lvlJc w:val="left"/>
      <w:pPr>
        <w:tabs>
          <w:tab w:val="num" w:pos="567"/>
        </w:tabs>
        <w:ind w:left="567" w:hanging="227"/>
      </w:pPr>
      <w:rPr>
        <w:rFonts w:ascii="Symbol" w:hAnsi="Symbol" w:hint="default"/>
        <w:color w:val="000000"/>
      </w:rPr>
    </w:lvl>
    <w:lvl w:ilvl="2">
      <w:start w:val="1"/>
      <w:numFmt w:val="bullet"/>
      <w:lvlText w:val=""/>
      <w:lvlJc w:val="left"/>
      <w:pPr>
        <w:tabs>
          <w:tab w:val="num" w:pos="794"/>
        </w:tabs>
        <w:ind w:left="794" w:hanging="227"/>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15:restartNumberingAfterBreak="0">
    <w:nsid w:val="27285250"/>
    <w:multiLevelType w:val="hybridMultilevel"/>
    <w:tmpl w:val="BD6091A2"/>
    <w:lvl w:ilvl="0" w:tplc="1116DEC4">
      <w:start w:val="1"/>
      <w:numFmt w:val="lowerRoman"/>
      <w:pStyle w:val="AEMCBodyCopyNumberedList03"/>
      <w:lvlText w:val="%1."/>
      <w:lvlJc w:val="left"/>
      <w:pPr>
        <w:tabs>
          <w:tab w:val="num" w:pos="340"/>
        </w:tabs>
        <w:ind w:left="340" w:hanging="3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6C4541"/>
    <w:multiLevelType w:val="hybridMultilevel"/>
    <w:tmpl w:val="534A9B76"/>
    <w:lvl w:ilvl="0" w:tplc="C28AAF72">
      <w:start w:val="1"/>
      <w:numFmt w:val="decimal"/>
      <w:pStyle w:val="AEMCBodyCopyNumberedList01"/>
      <w:lvlText w:val="%1."/>
      <w:lvlJc w:val="left"/>
      <w:pPr>
        <w:tabs>
          <w:tab w:val="num" w:pos="340"/>
        </w:tabs>
        <w:ind w:left="340" w:hanging="34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5" w15:restartNumberingAfterBreak="0">
    <w:nsid w:val="42EC2CB4"/>
    <w:multiLevelType w:val="hybridMultilevel"/>
    <w:tmpl w:val="53D0A990"/>
    <w:lvl w:ilvl="0" w:tplc="0C09000F">
      <w:start w:val="1"/>
      <w:numFmt w:val="decimal"/>
      <w:lvlText w:val="%1."/>
      <w:lvlJc w:val="left"/>
      <w:pPr>
        <w:tabs>
          <w:tab w:val="num" w:pos="283"/>
        </w:tabs>
        <w:ind w:left="283" w:hanging="283"/>
      </w:pPr>
      <w:rPr>
        <w:rFonts w:hint="default"/>
      </w:rPr>
    </w:lvl>
    <w:lvl w:ilvl="1" w:tplc="04090019" w:tentative="1">
      <w:start w:val="1"/>
      <w:numFmt w:val="lowerLetter"/>
      <w:lvlText w:val="%2."/>
      <w:lvlJc w:val="left"/>
      <w:pPr>
        <w:ind w:left="796" w:hanging="360"/>
      </w:pPr>
    </w:lvl>
    <w:lvl w:ilvl="2" w:tplc="0409001B" w:tentative="1">
      <w:start w:val="1"/>
      <w:numFmt w:val="lowerRoman"/>
      <w:lvlText w:val="%3."/>
      <w:lvlJc w:val="right"/>
      <w:pPr>
        <w:ind w:left="1516" w:hanging="180"/>
      </w:pPr>
    </w:lvl>
    <w:lvl w:ilvl="3" w:tplc="0409000F" w:tentative="1">
      <w:start w:val="1"/>
      <w:numFmt w:val="decimal"/>
      <w:lvlText w:val="%4."/>
      <w:lvlJc w:val="left"/>
      <w:pPr>
        <w:ind w:left="2236" w:hanging="360"/>
      </w:pPr>
    </w:lvl>
    <w:lvl w:ilvl="4" w:tplc="04090019" w:tentative="1">
      <w:start w:val="1"/>
      <w:numFmt w:val="lowerLetter"/>
      <w:lvlText w:val="%5."/>
      <w:lvlJc w:val="left"/>
      <w:pPr>
        <w:ind w:left="2956" w:hanging="360"/>
      </w:pPr>
    </w:lvl>
    <w:lvl w:ilvl="5" w:tplc="0409001B" w:tentative="1">
      <w:start w:val="1"/>
      <w:numFmt w:val="lowerRoman"/>
      <w:lvlText w:val="%6."/>
      <w:lvlJc w:val="right"/>
      <w:pPr>
        <w:ind w:left="3676" w:hanging="180"/>
      </w:pPr>
    </w:lvl>
    <w:lvl w:ilvl="6" w:tplc="0409000F" w:tentative="1">
      <w:start w:val="1"/>
      <w:numFmt w:val="decimal"/>
      <w:lvlText w:val="%7."/>
      <w:lvlJc w:val="left"/>
      <w:pPr>
        <w:ind w:left="4396" w:hanging="360"/>
      </w:pPr>
    </w:lvl>
    <w:lvl w:ilvl="7" w:tplc="04090019" w:tentative="1">
      <w:start w:val="1"/>
      <w:numFmt w:val="lowerLetter"/>
      <w:lvlText w:val="%8."/>
      <w:lvlJc w:val="left"/>
      <w:pPr>
        <w:ind w:left="5116" w:hanging="360"/>
      </w:pPr>
    </w:lvl>
    <w:lvl w:ilvl="8" w:tplc="0409001B" w:tentative="1">
      <w:start w:val="1"/>
      <w:numFmt w:val="lowerRoman"/>
      <w:lvlText w:val="%9."/>
      <w:lvlJc w:val="right"/>
      <w:pPr>
        <w:ind w:left="5836" w:hanging="180"/>
      </w:pPr>
    </w:lvl>
  </w:abstractNum>
  <w:abstractNum w:abstractNumId="6" w15:restartNumberingAfterBreak="0">
    <w:nsid w:val="505E6FA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1A859EB"/>
    <w:multiLevelType w:val="hybridMultilevel"/>
    <w:tmpl w:val="0DB6DCE0"/>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637964F4"/>
    <w:multiLevelType w:val="hybridMultilevel"/>
    <w:tmpl w:val="FE26B33A"/>
    <w:lvl w:ilvl="0" w:tplc="47562774">
      <w:start w:val="1"/>
      <w:numFmt w:val="lowerLetter"/>
      <w:pStyle w:val="AEMCBodyCopyNumberedList02"/>
      <w:lvlText w:val="%1."/>
      <w:lvlJc w:val="left"/>
      <w:pPr>
        <w:tabs>
          <w:tab w:val="num" w:pos="340"/>
        </w:tabs>
        <w:ind w:left="340" w:hanging="340"/>
      </w:pPr>
      <w:rPr>
        <w:rFonts w:hint="default"/>
        <w:color w:val="000000" w:themeColor="background1"/>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F921193"/>
    <w:multiLevelType w:val="multilevel"/>
    <w:tmpl w:val="FDDEE6CE"/>
    <w:lvl w:ilvl="0">
      <w:start w:val="1"/>
      <w:numFmt w:val="bullet"/>
      <w:pStyle w:val="AEMCBodyCopyListBullets"/>
      <w:lvlText w:val=""/>
      <w:lvlJc w:val="left"/>
      <w:pPr>
        <w:ind w:left="340" w:hanging="340"/>
      </w:pPr>
      <w:rPr>
        <w:rFonts w:ascii="Symbol" w:hAnsi="Symbol" w:hint="default"/>
        <w:color w:val="000000"/>
      </w:rPr>
    </w:lvl>
    <w:lvl w:ilvl="1">
      <w:start w:val="1"/>
      <w:numFmt w:val="bullet"/>
      <w:lvlText w:val=""/>
      <w:lvlJc w:val="left"/>
      <w:pPr>
        <w:tabs>
          <w:tab w:val="num" w:pos="680"/>
        </w:tabs>
        <w:ind w:left="680" w:hanging="340"/>
      </w:pPr>
      <w:rPr>
        <w:rFonts w:ascii="Symbol" w:hAnsi="Symbol" w:hint="default"/>
        <w:color w:val="000000"/>
      </w:rPr>
    </w:lvl>
    <w:lvl w:ilvl="2">
      <w:start w:val="1"/>
      <w:numFmt w:val="bullet"/>
      <w:lvlText w:val=""/>
      <w:lvlJc w:val="left"/>
      <w:pPr>
        <w:tabs>
          <w:tab w:val="num" w:pos="1021"/>
        </w:tabs>
        <w:ind w:left="1021" w:hanging="341"/>
      </w:pPr>
      <w:rPr>
        <w:rFonts w:ascii="Symbol" w:hAnsi="Symbol" w:hint="default"/>
        <w:color w:val="000000"/>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0" w15:restartNumberingAfterBreak="0">
    <w:nsid w:val="768E766E"/>
    <w:multiLevelType w:val="hybridMultilevel"/>
    <w:tmpl w:val="C34A8312"/>
    <w:lvl w:ilvl="0" w:tplc="0C090017">
      <w:start w:val="1"/>
      <w:numFmt w:val="lowerLetter"/>
      <w:pStyle w:val="AEMCTableBodyCopyNumbers"/>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7EE0236C"/>
    <w:multiLevelType w:val="hybridMultilevel"/>
    <w:tmpl w:val="C34A8312"/>
    <w:lvl w:ilvl="0" w:tplc="0C090017">
      <w:start w:val="1"/>
      <w:numFmt w:val="lowerLetter"/>
      <w:lvlText w:val="%1)"/>
      <w:lvlJc w:val="left"/>
      <w:pPr>
        <w:tabs>
          <w:tab w:val="num" w:pos="284"/>
        </w:tabs>
        <w:ind w:left="284" w:hanging="284"/>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8"/>
  </w:num>
  <w:num w:numId="2">
    <w:abstractNumId w:val="4"/>
  </w:num>
  <w:num w:numId="3">
    <w:abstractNumId w:val="2"/>
  </w:num>
  <w:num w:numId="4">
    <w:abstractNumId w:val="3"/>
  </w:num>
  <w:num w:numId="5">
    <w:abstractNumId w:val="9"/>
  </w:num>
  <w:num w:numId="6">
    <w:abstractNumId w:val="10"/>
  </w:num>
  <w:num w:numId="7">
    <w:abstractNumId w:val="5"/>
  </w:num>
  <w:num w:numId="8">
    <w:abstractNumId w:val="5"/>
    <w:lvlOverride w:ilvl="0">
      <w:startOverride w:val="1"/>
    </w:lvlOverride>
  </w:num>
  <w:num w:numId="9">
    <w:abstractNumId w:val="7"/>
  </w:num>
  <w:num w:numId="10">
    <w:abstractNumId w:val="10"/>
    <w:lvlOverride w:ilvl="0">
      <w:startOverride w:val="1"/>
    </w:lvlOverride>
  </w:num>
  <w:num w:numId="11">
    <w:abstractNumId w:val="10"/>
  </w:num>
  <w:num w:numId="12">
    <w:abstractNumId w:val="0"/>
  </w:num>
  <w:num w:numId="13">
    <w:abstractNumId w:val="11"/>
  </w:num>
  <w:num w:numId="14">
    <w:abstractNumId w:val="10"/>
  </w:num>
  <w:num w:numId="15">
    <w:abstractNumId w:val="6"/>
  </w:num>
  <w:num w:numId="16">
    <w:abstractNumId w:val="1"/>
  </w:num>
  <w:num w:numId="17">
    <w:abstractNumId w:val="0"/>
    <w:lvlOverride w:ilvl="0">
      <w:startOverride w:val="1"/>
    </w:lvlOverride>
  </w:num>
  <w:num w:numId="18">
    <w:abstractNumId w:val="11"/>
    <w:lvlOverride w:ilvl="0">
      <w:startOverride w:val="1"/>
    </w:lvlOverride>
  </w:num>
  <w:num w:numId="19">
    <w:abstractNumId w:val="1"/>
    <w:lvlOverride w:ilvl="0">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hideSpellingErrors/>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85"/>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7726"/>
    <w:rsid w:val="00000E51"/>
    <w:rsid w:val="0000145B"/>
    <w:rsid w:val="00001992"/>
    <w:rsid w:val="00001A36"/>
    <w:rsid w:val="00001B61"/>
    <w:rsid w:val="00001F15"/>
    <w:rsid w:val="00003A0D"/>
    <w:rsid w:val="0000465F"/>
    <w:rsid w:val="000050D9"/>
    <w:rsid w:val="000071D2"/>
    <w:rsid w:val="00010450"/>
    <w:rsid w:val="0001221F"/>
    <w:rsid w:val="00012CBF"/>
    <w:rsid w:val="00013085"/>
    <w:rsid w:val="000142D8"/>
    <w:rsid w:val="0001526E"/>
    <w:rsid w:val="00015745"/>
    <w:rsid w:val="00015E44"/>
    <w:rsid w:val="0001690F"/>
    <w:rsid w:val="00020ECC"/>
    <w:rsid w:val="000222F9"/>
    <w:rsid w:val="000233FB"/>
    <w:rsid w:val="00024BBD"/>
    <w:rsid w:val="00026054"/>
    <w:rsid w:val="0002771D"/>
    <w:rsid w:val="000279B0"/>
    <w:rsid w:val="000309D3"/>
    <w:rsid w:val="00030FAD"/>
    <w:rsid w:val="000310AE"/>
    <w:rsid w:val="00032B9F"/>
    <w:rsid w:val="000343AF"/>
    <w:rsid w:val="00034DC3"/>
    <w:rsid w:val="00034F88"/>
    <w:rsid w:val="000357AD"/>
    <w:rsid w:val="000362D3"/>
    <w:rsid w:val="00037513"/>
    <w:rsid w:val="000376F9"/>
    <w:rsid w:val="0004018C"/>
    <w:rsid w:val="0004027A"/>
    <w:rsid w:val="0004111E"/>
    <w:rsid w:val="000414D5"/>
    <w:rsid w:val="00041A2E"/>
    <w:rsid w:val="000437DC"/>
    <w:rsid w:val="0004420E"/>
    <w:rsid w:val="000442F8"/>
    <w:rsid w:val="00044BDA"/>
    <w:rsid w:val="00045842"/>
    <w:rsid w:val="000475BF"/>
    <w:rsid w:val="00047D0C"/>
    <w:rsid w:val="00047D41"/>
    <w:rsid w:val="00047E4A"/>
    <w:rsid w:val="0005008F"/>
    <w:rsid w:val="0005011E"/>
    <w:rsid w:val="00051F67"/>
    <w:rsid w:val="00052368"/>
    <w:rsid w:val="00052A04"/>
    <w:rsid w:val="00053449"/>
    <w:rsid w:val="00054368"/>
    <w:rsid w:val="00055071"/>
    <w:rsid w:val="00056E2E"/>
    <w:rsid w:val="00060A42"/>
    <w:rsid w:val="000619A6"/>
    <w:rsid w:val="00061AE9"/>
    <w:rsid w:val="00061DC3"/>
    <w:rsid w:val="000628F0"/>
    <w:rsid w:val="000634FF"/>
    <w:rsid w:val="00064F94"/>
    <w:rsid w:val="0006550F"/>
    <w:rsid w:val="000656F7"/>
    <w:rsid w:val="000663CD"/>
    <w:rsid w:val="00070BBA"/>
    <w:rsid w:val="0007340D"/>
    <w:rsid w:val="0007465F"/>
    <w:rsid w:val="000749C5"/>
    <w:rsid w:val="000756A0"/>
    <w:rsid w:val="00080497"/>
    <w:rsid w:val="00081AE5"/>
    <w:rsid w:val="00084BE1"/>
    <w:rsid w:val="000867D3"/>
    <w:rsid w:val="000877F7"/>
    <w:rsid w:val="00087F77"/>
    <w:rsid w:val="0009020F"/>
    <w:rsid w:val="00091D7A"/>
    <w:rsid w:val="00092D3A"/>
    <w:rsid w:val="00094B2E"/>
    <w:rsid w:val="00095114"/>
    <w:rsid w:val="00095231"/>
    <w:rsid w:val="0009593C"/>
    <w:rsid w:val="00096017"/>
    <w:rsid w:val="0009733D"/>
    <w:rsid w:val="00097BA5"/>
    <w:rsid w:val="000A0478"/>
    <w:rsid w:val="000A18DC"/>
    <w:rsid w:val="000A1C7B"/>
    <w:rsid w:val="000A1D0D"/>
    <w:rsid w:val="000A54FA"/>
    <w:rsid w:val="000A5F06"/>
    <w:rsid w:val="000A6312"/>
    <w:rsid w:val="000A6660"/>
    <w:rsid w:val="000A69C9"/>
    <w:rsid w:val="000A7CF8"/>
    <w:rsid w:val="000B0950"/>
    <w:rsid w:val="000B0E51"/>
    <w:rsid w:val="000B34BB"/>
    <w:rsid w:val="000B457D"/>
    <w:rsid w:val="000B5659"/>
    <w:rsid w:val="000B5796"/>
    <w:rsid w:val="000B5968"/>
    <w:rsid w:val="000B601B"/>
    <w:rsid w:val="000B69FC"/>
    <w:rsid w:val="000B7404"/>
    <w:rsid w:val="000C03E1"/>
    <w:rsid w:val="000C1621"/>
    <w:rsid w:val="000C1649"/>
    <w:rsid w:val="000C42A5"/>
    <w:rsid w:val="000C5C9F"/>
    <w:rsid w:val="000C745C"/>
    <w:rsid w:val="000D019B"/>
    <w:rsid w:val="000D26DA"/>
    <w:rsid w:val="000D3F8C"/>
    <w:rsid w:val="000D41D1"/>
    <w:rsid w:val="000D46A6"/>
    <w:rsid w:val="000D58F6"/>
    <w:rsid w:val="000D70D6"/>
    <w:rsid w:val="000D724C"/>
    <w:rsid w:val="000D760A"/>
    <w:rsid w:val="000D7647"/>
    <w:rsid w:val="000E0A3A"/>
    <w:rsid w:val="000E202B"/>
    <w:rsid w:val="000E2D49"/>
    <w:rsid w:val="000E32B8"/>
    <w:rsid w:val="000E40AE"/>
    <w:rsid w:val="000E4A9E"/>
    <w:rsid w:val="000E6828"/>
    <w:rsid w:val="000E6A71"/>
    <w:rsid w:val="000E73FD"/>
    <w:rsid w:val="000F1E1F"/>
    <w:rsid w:val="000F297E"/>
    <w:rsid w:val="000F50D7"/>
    <w:rsid w:val="000F5F27"/>
    <w:rsid w:val="00100958"/>
    <w:rsid w:val="0010241A"/>
    <w:rsid w:val="00103D42"/>
    <w:rsid w:val="001040D9"/>
    <w:rsid w:val="001040DB"/>
    <w:rsid w:val="0010474E"/>
    <w:rsid w:val="00104B55"/>
    <w:rsid w:val="00105E6A"/>
    <w:rsid w:val="00105E74"/>
    <w:rsid w:val="00106A6A"/>
    <w:rsid w:val="001109E5"/>
    <w:rsid w:val="001113CD"/>
    <w:rsid w:val="00112EBC"/>
    <w:rsid w:val="00113FFD"/>
    <w:rsid w:val="0011699D"/>
    <w:rsid w:val="001169DC"/>
    <w:rsid w:val="001207ED"/>
    <w:rsid w:val="00122AB9"/>
    <w:rsid w:val="001239CC"/>
    <w:rsid w:val="0012499B"/>
    <w:rsid w:val="00125D9B"/>
    <w:rsid w:val="001267DD"/>
    <w:rsid w:val="00127C9B"/>
    <w:rsid w:val="00132C57"/>
    <w:rsid w:val="00135A43"/>
    <w:rsid w:val="00135E9D"/>
    <w:rsid w:val="00136E3D"/>
    <w:rsid w:val="00140A43"/>
    <w:rsid w:val="00141AF9"/>
    <w:rsid w:val="00142959"/>
    <w:rsid w:val="00143727"/>
    <w:rsid w:val="00144889"/>
    <w:rsid w:val="00147C7F"/>
    <w:rsid w:val="001508EE"/>
    <w:rsid w:val="00150F93"/>
    <w:rsid w:val="00151729"/>
    <w:rsid w:val="00152186"/>
    <w:rsid w:val="0015281A"/>
    <w:rsid w:val="00152D58"/>
    <w:rsid w:val="00154925"/>
    <w:rsid w:val="001549DD"/>
    <w:rsid w:val="0015518A"/>
    <w:rsid w:val="0015555C"/>
    <w:rsid w:val="001567FB"/>
    <w:rsid w:val="00156ED7"/>
    <w:rsid w:val="00160471"/>
    <w:rsid w:val="0016293F"/>
    <w:rsid w:val="00162B3E"/>
    <w:rsid w:val="0016494D"/>
    <w:rsid w:val="00164A27"/>
    <w:rsid w:val="0016670D"/>
    <w:rsid w:val="00170589"/>
    <w:rsid w:val="0017240A"/>
    <w:rsid w:val="00173929"/>
    <w:rsid w:val="00175F5C"/>
    <w:rsid w:val="00180789"/>
    <w:rsid w:val="0018102E"/>
    <w:rsid w:val="0018151B"/>
    <w:rsid w:val="00181587"/>
    <w:rsid w:val="00183047"/>
    <w:rsid w:val="001841A9"/>
    <w:rsid w:val="001864FC"/>
    <w:rsid w:val="0018654F"/>
    <w:rsid w:val="001870E5"/>
    <w:rsid w:val="00187118"/>
    <w:rsid w:val="001874B0"/>
    <w:rsid w:val="001874E6"/>
    <w:rsid w:val="001905F7"/>
    <w:rsid w:val="00190FC9"/>
    <w:rsid w:val="00192B54"/>
    <w:rsid w:val="00192EA9"/>
    <w:rsid w:val="0019391E"/>
    <w:rsid w:val="0019455B"/>
    <w:rsid w:val="00196034"/>
    <w:rsid w:val="00196462"/>
    <w:rsid w:val="0019699E"/>
    <w:rsid w:val="001979E7"/>
    <w:rsid w:val="001A0122"/>
    <w:rsid w:val="001A12D7"/>
    <w:rsid w:val="001A155B"/>
    <w:rsid w:val="001A2D9D"/>
    <w:rsid w:val="001A487B"/>
    <w:rsid w:val="001A4AE1"/>
    <w:rsid w:val="001A4CC0"/>
    <w:rsid w:val="001B0B03"/>
    <w:rsid w:val="001B1250"/>
    <w:rsid w:val="001B1F3C"/>
    <w:rsid w:val="001B2035"/>
    <w:rsid w:val="001B3619"/>
    <w:rsid w:val="001B36EC"/>
    <w:rsid w:val="001B394C"/>
    <w:rsid w:val="001B39C2"/>
    <w:rsid w:val="001B4793"/>
    <w:rsid w:val="001B4B6D"/>
    <w:rsid w:val="001B5447"/>
    <w:rsid w:val="001B60C8"/>
    <w:rsid w:val="001B7F01"/>
    <w:rsid w:val="001B7F35"/>
    <w:rsid w:val="001C0415"/>
    <w:rsid w:val="001C16E7"/>
    <w:rsid w:val="001C193A"/>
    <w:rsid w:val="001C2765"/>
    <w:rsid w:val="001C283D"/>
    <w:rsid w:val="001C2E09"/>
    <w:rsid w:val="001C2FC1"/>
    <w:rsid w:val="001C3801"/>
    <w:rsid w:val="001C3ADD"/>
    <w:rsid w:val="001C4BFD"/>
    <w:rsid w:val="001C63AD"/>
    <w:rsid w:val="001C63C5"/>
    <w:rsid w:val="001C76B1"/>
    <w:rsid w:val="001D04BF"/>
    <w:rsid w:val="001D0D44"/>
    <w:rsid w:val="001D1B40"/>
    <w:rsid w:val="001D4059"/>
    <w:rsid w:val="001D5750"/>
    <w:rsid w:val="001D638A"/>
    <w:rsid w:val="001D7085"/>
    <w:rsid w:val="001E03F9"/>
    <w:rsid w:val="001E2B79"/>
    <w:rsid w:val="001E40AC"/>
    <w:rsid w:val="001E58E7"/>
    <w:rsid w:val="001E74E8"/>
    <w:rsid w:val="001E7C2B"/>
    <w:rsid w:val="001F2259"/>
    <w:rsid w:val="001F2788"/>
    <w:rsid w:val="001F2E64"/>
    <w:rsid w:val="001F3177"/>
    <w:rsid w:val="001F3292"/>
    <w:rsid w:val="001F3512"/>
    <w:rsid w:val="001F4CAC"/>
    <w:rsid w:val="001F52DA"/>
    <w:rsid w:val="001F7744"/>
    <w:rsid w:val="00203BD6"/>
    <w:rsid w:val="00204615"/>
    <w:rsid w:val="00205090"/>
    <w:rsid w:val="00205F78"/>
    <w:rsid w:val="00206044"/>
    <w:rsid w:val="00206953"/>
    <w:rsid w:val="00207B81"/>
    <w:rsid w:val="00210770"/>
    <w:rsid w:val="002116F1"/>
    <w:rsid w:val="002120AE"/>
    <w:rsid w:val="00212BA2"/>
    <w:rsid w:val="002132B1"/>
    <w:rsid w:val="00215A5C"/>
    <w:rsid w:val="0021677E"/>
    <w:rsid w:val="002215F7"/>
    <w:rsid w:val="0022180E"/>
    <w:rsid w:val="00223761"/>
    <w:rsid w:val="00225283"/>
    <w:rsid w:val="0022653B"/>
    <w:rsid w:val="002326A0"/>
    <w:rsid w:val="00232B5D"/>
    <w:rsid w:val="002348E4"/>
    <w:rsid w:val="002352FA"/>
    <w:rsid w:val="00236560"/>
    <w:rsid w:val="00236997"/>
    <w:rsid w:val="00237629"/>
    <w:rsid w:val="002377CF"/>
    <w:rsid w:val="00237DAA"/>
    <w:rsid w:val="002401DA"/>
    <w:rsid w:val="00242234"/>
    <w:rsid w:val="00242B03"/>
    <w:rsid w:val="0024382D"/>
    <w:rsid w:val="00246194"/>
    <w:rsid w:val="00246F19"/>
    <w:rsid w:val="00247780"/>
    <w:rsid w:val="00250C15"/>
    <w:rsid w:val="00250D87"/>
    <w:rsid w:val="002518CF"/>
    <w:rsid w:val="002536C1"/>
    <w:rsid w:val="002556CD"/>
    <w:rsid w:val="0025621E"/>
    <w:rsid w:val="0025775E"/>
    <w:rsid w:val="0026003A"/>
    <w:rsid w:val="00261EC5"/>
    <w:rsid w:val="002622A2"/>
    <w:rsid w:val="00263D7F"/>
    <w:rsid w:val="00264177"/>
    <w:rsid w:val="00265059"/>
    <w:rsid w:val="0026556E"/>
    <w:rsid w:val="00265DAC"/>
    <w:rsid w:val="00265F52"/>
    <w:rsid w:val="00265FE7"/>
    <w:rsid w:val="002665C5"/>
    <w:rsid w:val="00266F34"/>
    <w:rsid w:val="002670D0"/>
    <w:rsid w:val="00267477"/>
    <w:rsid w:val="0026795F"/>
    <w:rsid w:val="00267989"/>
    <w:rsid w:val="00270220"/>
    <w:rsid w:val="00270232"/>
    <w:rsid w:val="002705B8"/>
    <w:rsid w:val="00270DC2"/>
    <w:rsid w:val="00272202"/>
    <w:rsid w:val="00272A08"/>
    <w:rsid w:val="00272E55"/>
    <w:rsid w:val="00273094"/>
    <w:rsid w:val="00273189"/>
    <w:rsid w:val="002747D3"/>
    <w:rsid w:val="00275488"/>
    <w:rsid w:val="00275C6D"/>
    <w:rsid w:val="0027645D"/>
    <w:rsid w:val="00276777"/>
    <w:rsid w:val="0027757D"/>
    <w:rsid w:val="002775ED"/>
    <w:rsid w:val="00282127"/>
    <w:rsid w:val="002847DD"/>
    <w:rsid w:val="00285BDB"/>
    <w:rsid w:val="00286804"/>
    <w:rsid w:val="0029085A"/>
    <w:rsid w:val="00291BD9"/>
    <w:rsid w:val="002921B4"/>
    <w:rsid w:val="00292D72"/>
    <w:rsid w:val="002932DA"/>
    <w:rsid w:val="00293402"/>
    <w:rsid w:val="00295F6F"/>
    <w:rsid w:val="00297506"/>
    <w:rsid w:val="002A2061"/>
    <w:rsid w:val="002A2725"/>
    <w:rsid w:val="002A2DB9"/>
    <w:rsid w:val="002A37CA"/>
    <w:rsid w:val="002A3BF6"/>
    <w:rsid w:val="002A5953"/>
    <w:rsid w:val="002A6424"/>
    <w:rsid w:val="002A6907"/>
    <w:rsid w:val="002A6A1F"/>
    <w:rsid w:val="002A76C7"/>
    <w:rsid w:val="002B084E"/>
    <w:rsid w:val="002B107D"/>
    <w:rsid w:val="002B1BF4"/>
    <w:rsid w:val="002B1F96"/>
    <w:rsid w:val="002B222A"/>
    <w:rsid w:val="002B272B"/>
    <w:rsid w:val="002B314A"/>
    <w:rsid w:val="002B4A95"/>
    <w:rsid w:val="002B4E2E"/>
    <w:rsid w:val="002B5921"/>
    <w:rsid w:val="002B5EFE"/>
    <w:rsid w:val="002B679B"/>
    <w:rsid w:val="002B6C93"/>
    <w:rsid w:val="002B74F9"/>
    <w:rsid w:val="002C118A"/>
    <w:rsid w:val="002C1A0F"/>
    <w:rsid w:val="002C2AFA"/>
    <w:rsid w:val="002C36F8"/>
    <w:rsid w:val="002C6420"/>
    <w:rsid w:val="002C6494"/>
    <w:rsid w:val="002C684C"/>
    <w:rsid w:val="002D283E"/>
    <w:rsid w:val="002D2B2C"/>
    <w:rsid w:val="002D347A"/>
    <w:rsid w:val="002D53BD"/>
    <w:rsid w:val="002D5EE7"/>
    <w:rsid w:val="002D6CE5"/>
    <w:rsid w:val="002E05B7"/>
    <w:rsid w:val="002E0EAE"/>
    <w:rsid w:val="002E1941"/>
    <w:rsid w:val="002E245B"/>
    <w:rsid w:val="002E2EE9"/>
    <w:rsid w:val="002E3010"/>
    <w:rsid w:val="002E38F9"/>
    <w:rsid w:val="002E5F2A"/>
    <w:rsid w:val="002E6423"/>
    <w:rsid w:val="002E6890"/>
    <w:rsid w:val="002E6EA9"/>
    <w:rsid w:val="002F1C7C"/>
    <w:rsid w:val="002F4B65"/>
    <w:rsid w:val="002F642E"/>
    <w:rsid w:val="002F6A4A"/>
    <w:rsid w:val="002F6D2D"/>
    <w:rsid w:val="003011F1"/>
    <w:rsid w:val="00301568"/>
    <w:rsid w:val="0030159E"/>
    <w:rsid w:val="00301A72"/>
    <w:rsid w:val="00301EAC"/>
    <w:rsid w:val="0030274C"/>
    <w:rsid w:val="003030A1"/>
    <w:rsid w:val="00304070"/>
    <w:rsid w:val="00305231"/>
    <w:rsid w:val="00305346"/>
    <w:rsid w:val="00305930"/>
    <w:rsid w:val="00305C20"/>
    <w:rsid w:val="0030708C"/>
    <w:rsid w:val="00307904"/>
    <w:rsid w:val="0031012D"/>
    <w:rsid w:val="00310411"/>
    <w:rsid w:val="00311447"/>
    <w:rsid w:val="003116B4"/>
    <w:rsid w:val="00311D7A"/>
    <w:rsid w:val="00312593"/>
    <w:rsid w:val="00312C29"/>
    <w:rsid w:val="003147C8"/>
    <w:rsid w:val="00314F7E"/>
    <w:rsid w:val="00315298"/>
    <w:rsid w:val="0031645D"/>
    <w:rsid w:val="00316559"/>
    <w:rsid w:val="0031680B"/>
    <w:rsid w:val="00316869"/>
    <w:rsid w:val="003171E7"/>
    <w:rsid w:val="00317370"/>
    <w:rsid w:val="00322D62"/>
    <w:rsid w:val="00322E29"/>
    <w:rsid w:val="00324D0B"/>
    <w:rsid w:val="00324F20"/>
    <w:rsid w:val="0032502D"/>
    <w:rsid w:val="00325780"/>
    <w:rsid w:val="00325BEB"/>
    <w:rsid w:val="00325E18"/>
    <w:rsid w:val="0032606D"/>
    <w:rsid w:val="00327503"/>
    <w:rsid w:val="0032750A"/>
    <w:rsid w:val="00327A69"/>
    <w:rsid w:val="003306D4"/>
    <w:rsid w:val="00331138"/>
    <w:rsid w:val="00331550"/>
    <w:rsid w:val="003332FA"/>
    <w:rsid w:val="003334B7"/>
    <w:rsid w:val="0033442C"/>
    <w:rsid w:val="00334F69"/>
    <w:rsid w:val="00335788"/>
    <w:rsid w:val="00335F0E"/>
    <w:rsid w:val="00336BE5"/>
    <w:rsid w:val="0033767D"/>
    <w:rsid w:val="00340549"/>
    <w:rsid w:val="00341B9B"/>
    <w:rsid w:val="00342B3B"/>
    <w:rsid w:val="00342BD1"/>
    <w:rsid w:val="003434D7"/>
    <w:rsid w:val="00343AAC"/>
    <w:rsid w:val="003442C1"/>
    <w:rsid w:val="00344D3C"/>
    <w:rsid w:val="0034515C"/>
    <w:rsid w:val="00345AF9"/>
    <w:rsid w:val="003462C7"/>
    <w:rsid w:val="00347CE9"/>
    <w:rsid w:val="00350AC9"/>
    <w:rsid w:val="00350EA8"/>
    <w:rsid w:val="00351ADB"/>
    <w:rsid w:val="00352373"/>
    <w:rsid w:val="00352F88"/>
    <w:rsid w:val="00354B58"/>
    <w:rsid w:val="00354D8A"/>
    <w:rsid w:val="00356CAE"/>
    <w:rsid w:val="0036023F"/>
    <w:rsid w:val="003627DC"/>
    <w:rsid w:val="00362EB7"/>
    <w:rsid w:val="00364EB8"/>
    <w:rsid w:val="00365382"/>
    <w:rsid w:val="00366254"/>
    <w:rsid w:val="0036679B"/>
    <w:rsid w:val="00366D25"/>
    <w:rsid w:val="003675FB"/>
    <w:rsid w:val="00371955"/>
    <w:rsid w:val="003719DB"/>
    <w:rsid w:val="0037244B"/>
    <w:rsid w:val="0037283E"/>
    <w:rsid w:val="00372C86"/>
    <w:rsid w:val="0037380E"/>
    <w:rsid w:val="00374702"/>
    <w:rsid w:val="00375872"/>
    <w:rsid w:val="003767CE"/>
    <w:rsid w:val="00377442"/>
    <w:rsid w:val="00377EE7"/>
    <w:rsid w:val="00381553"/>
    <w:rsid w:val="00382211"/>
    <w:rsid w:val="00383075"/>
    <w:rsid w:val="003841AD"/>
    <w:rsid w:val="00385943"/>
    <w:rsid w:val="0038613B"/>
    <w:rsid w:val="00390B06"/>
    <w:rsid w:val="00390EBA"/>
    <w:rsid w:val="00391C92"/>
    <w:rsid w:val="003935BA"/>
    <w:rsid w:val="00393639"/>
    <w:rsid w:val="00393753"/>
    <w:rsid w:val="00393D75"/>
    <w:rsid w:val="00396258"/>
    <w:rsid w:val="0039668C"/>
    <w:rsid w:val="00397C0E"/>
    <w:rsid w:val="003A0FC1"/>
    <w:rsid w:val="003A1372"/>
    <w:rsid w:val="003A1E71"/>
    <w:rsid w:val="003A2D74"/>
    <w:rsid w:val="003A3BAC"/>
    <w:rsid w:val="003A3D3F"/>
    <w:rsid w:val="003A3EE5"/>
    <w:rsid w:val="003A4355"/>
    <w:rsid w:val="003A5DC5"/>
    <w:rsid w:val="003A7347"/>
    <w:rsid w:val="003A76C7"/>
    <w:rsid w:val="003B0B9D"/>
    <w:rsid w:val="003B252F"/>
    <w:rsid w:val="003B2A3A"/>
    <w:rsid w:val="003B2F07"/>
    <w:rsid w:val="003B3444"/>
    <w:rsid w:val="003B3B7B"/>
    <w:rsid w:val="003B409D"/>
    <w:rsid w:val="003B43F4"/>
    <w:rsid w:val="003B51EF"/>
    <w:rsid w:val="003B5F73"/>
    <w:rsid w:val="003B699D"/>
    <w:rsid w:val="003B7301"/>
    <w:rsid w:val="003C276F"/>
    <w:rsid w:val="003C2B67"/>
    <w:rsid w:val="003C3AF7"/>
    <w:rsid w:val="003C4735"/>
    <w:rsid w:val="003C4FA5"/>
    <w:rsid w:val="003C5CA8"/>
    <w:rsid w:val="003C63ED"/>
    <w:rsid w:val="003C64D0"/>
    <w:rsid w:val="003C6A11"/>
    <w:rsid w:val="003C6EF0"/>
    <w:rsid w:val="003D36E7"/>
    <w:rsid w:val="003D53C7"/>
    <w:rsid w:val="003D546A"/>
    <w:rsid w:val="003D5888"/>
    <w:rsid w:val="003D5C77"/>
    <w:rsid w:val="003D7122"/>
    <w:rsid w:val="003E0BA3"/>
    <w:rsid w:val="003E0C00"/>
    <w:rsid w:val="003E1E5B"/>
    <w:rsid w:val="003E36B9"/>
    <w:rsid w:val="003E4B40"/>
    <w:rsid w:val="003E5817"/>
    <w:rsid w:val="003E6361"/>
    <w:rsid w:val="003E6D97"/>
    <w:rsid w:val="003E79D1"/>
    <w:rsid w:val="003F2DC5"/>
    <w:rsid w:val="004002DF"/>
    <w:rsid w:val="0040111D"/>
    <w:rsid w:val="004015BB"/>
    <w:rsid w:val="00402301"/>
    <w:rsid w:val="00403830"/>
    <w:rsid w:val="004058EB"/>
    <w:rsid w:val="00406A96"/>
    <w:rsid w:val="0040703E"/>
    <w:rsid w:val="00407D0B"/>
    <w:rsid w:val="004104B2"/>
    <w:rsid w:val="00411DE5"/>
    <w:rsid w:val="0041297A"/>
    <w:rsid w:val="004133DB"/>
    <w:rsid w:val="00415AB6"/>
    <w:rsid w:val="00416DD7"/>
    <w:rsid w:val="00417E73"/>
    <w:rsid w:val="0042052E"/>
    <w:rsid w:val="00420D5E"/>
    <w:rsid w:val="00421AD0"/>
    <w:rsid w:val="0042669E"/>
    <w:rsid w:val="00430762"/>
    <w:rsid w:val="004327AC"/>
    <w:rsid w:val="004339FA"/>
    <w:rsid w:val="00437930"/>
    <w:rsid w:val="004404AA"/>
    <w:rsid w:val="004408D6"/>
    <w:rsid w:val="0044136B"/>
    <w:rsid w:val="00441D8E"/>
    <w:rsid w:val="00442445"/>
    <w:rsid w:val="004464EC"/>
    <w:rsid w:val="004470F2"/>
    <w:rsid w:val="0044760D"/>
    <w:rsid w:val="004479E5"/>
    <w:rsid w:val="004531AD"/>
    <w:rsid w:val="0045320E"/>
    <w:rsid w:val="004536F5"/>
    <w:rsid w:val="00453765"/>
    <w:rsid w:val="0045436C"/>
    <w:rsid w:val="00454B6C"/>
    <w:rsid w:val="00456701"/>
    <w:rsid w:val="004568D2"/>
    <w:rsid w:val="00456C34"/>
    <w:rsid w:val="004572B9"/>
    <w:rsid w:val="00457D56"/>
    <w:rsid w:val="00457D90"/>
    <w:rsid w:val="00460396"/>
    <w:rsid w:val="00460716"/>
    <w:rsid w:val="004625C2"/>
    <w:rsid w:val="00463008"/>
    <w:rsid w:val="00464781"/>
    <w:rsid w:val="00464838"/>
    <w:rsid w:val="00464CD6"/>
    <w:rsid w:val="00465897"/>
    <w:rsid w:val="0047105D"/>
    <w:rsid w:val="00471C88"/>
    <w:rsid w:val="00472140"/>
    <w:rsid w:val="004728CC"/>
    <w:rsid w:val="00473CE5"/>
    <w:rsid w:val="00473ED5"/>
    <w:rsid w:val="004744F0"/>
    <w:rsid w:val="00474AE7"/>
    <w:rsid w:val="00474D0B"/>
    <w:rsid w:val="00475000"/>
    <w:rsid w:val="004750DF"/>
    <w:rsid w:val="004755A6"/>
    <w:rsid w:val="00476761"/>
    <w:rsid w:val="004768F8"/>
    <w:rsid w:val="00481A8B"/>
    <w:rsid w:val="004842C7"/>
    <w:rsid w:val="0048510E"/>
    <w:rsid w:val="00485488"/>
    <w:rsid w:val="00486C46"/>
    <w:rsid w:val="00486C85"/>
    <w:rsid w:val="00486F4C"/>
    <w:rsid w:val="004870BB"/>
    <w:rsid w:val="00491B44"/>
    <w:rsid w:val="00491D0A"/>
    <w:rsid w:val="004933BC"/>
    <w:rsid w:val="004937DE"/>
    <w:rsid w:val="00493E2F"/>
    <w:rsid w:val="004941A3"/>
    <w:rsid w:val="0049427D"/>
    <w:rsid w:val="004953F0"/>
    <w:rsid w:val="00495EC8"/>
    <w:rsid w:val="004964E4"/>
    <w:rsid w:val="0049774D"/>
    <w:rsid w:val="004A00E5"/>
    <w:rsid w:val="004A0574"/>
    <w:rsid w:val="004A09AF"/>
    <w:rsid w:val="004A3A5F"/>
    <w:rsid w:val="004A3E12"/>
    <w:rsid w:val="004B0395"/>
    <w:rsid w:val="004B1152"/>
    <w:rsid w:val="004B189C"/>
    <w:rsid w:val="004B3435"/>
    <w:rsid w:val="004B34C2"/>
    <w:rsid w:val="004B35C5"/>
    <w:rsid w:val="004B42A4"/>
    <w:rsid w:val="004B4FF2"/>
    <w:rsid w:val="004B5DA0"/>
    <w:rsid w:val="004B6D06"/>
    <w:rsid w:val="004B7948"/>
    <w:rsid w:val="004C14F7"/>
    <w:rsid w:val="004C166E"/>
    <w:rsid w:val="004C1BB7"/>
    <w:rsid w:val="004C3D86"/>
    <w:rsid w:val="004C3DEF"/>
    <w:rsid w:val="004C63E6"/>
    <w:rsid w:val="004C662F"/>
    <w:rsid w:val="004C6BF9"/>
    <w:rsid w:val="004C7557"/>
    <w:rsid w:val="004C7975"/>
    <w:rsid w:val="004D0A50"/>
    <w:rsid w:val="004D20DF"/>
    <w:rsid w:val="004D270B"/>
    <w:rsid w:val="004D2B15"/>
    <w:rsid w:val="004D2D4A"/>
    <w:rsid w:val="004D3088"/>
    <w:rsid w:val="004D380A"/>
    <w:rsid w:val="004D4983"/>
    <w:rsid w:val="004D4DF8"/>
    <w:rsid w:val="004D5391"/>
    <w:rsid w:val="004D58B3"/>
    <w:rsid w:val="004E021F"/>
    <w:rsid w:val="004E0408"/>
    <w:rsid w:val="004E1F1B"/>
    <w:rsid w:val="004E2559"/>
    <w:rsid w:val="004E2B52"/>
    <w:rsid w:val="004E2F98"/>
    <w:rsid w:val="004E4060"/>
    <w:rsid w:val="004E4872"/>
    <w:rsid w:val="004E4FA3"/>
    <w:rsid w:val="004E56A6"/>
    <w:rsid w:val="004E605E"/>
    <w:rsid w:val="004E64F1"/>
    <w:rsid w:val="004E754D"/>
    <w:rsid w:val="004E7A2C"/>
    <w:rsid w:val="004F0ABA"/>
    <w:rsid w:val="004F34AD"/>
    <w:rsid w:val="004F3B5F"/>
    <w:rsid w:val="004F3BCF"/>
    <w:rsid w:val="004F557F"/>
    <w:rsid w:val="004F66DC"/>
    <w:rsid w:val="005005E6"/>
    <w:rsid w:val="005019B4"/>
    <w:rsid w:val="00502ADA"/>
    <w:rsid w:val="00503238"/>
    <w:rsid w:val="005038A5"/>
    <w:rsid w:val="005043C6"/>
    <w:rsid w:val="00504938"/>
    <w:rsid w:val="00504F3D"/>
    <w:rsid w:val="00506547"/>
    <w:rsid w:val="005074E0"/>
    <w:rsid w:val="005078D8"/>
    <w:rsid w:val="00507F94"/>
    <w:rsid w:val="00510566"/>
    <w:rsid w:val="00514158"/>
    <w:rsid w:val="005152A7"/>
    <w:rsid w:val="005164C8"/>
    <w:rsid w:val="0051671E"/>
    <w:rsid w:val="00517013"/>
    <w:rsid w:val="00517DD3"/>
    <w:rsid w:val="00520297"/>
    <w:rsid w:val="0052130A"/>
    <w:rsid w:val="00521AC0"/>
    <w:rsid w:val="00521F63"/>
    <w:rsid w:val="005228B2"/>
    <w:rsid w:val="00525276"/>
    <w:rsid w:val="00525978"/>
    <w:rsid w:val="00526B99"/>
    <w:rsid w:val="005307F4"/>
    <w:rsid w:val="00530B6F"/>
    <w:rsid w:val="005312A4"/>
    <w:rsid w:val="005317F1"/>
    <w:rsid w:val="005321F1"/>
    <w:rsid w:val="00533DF8"/>
    <w:rsid w:val="00534916"/>
    <w:rsid w:val="00536870"/>
    <w:rsid w:val="00537970"/>
    <w:rsid w:val="00540493"/>
    <w:rsid w:val="00540E7D"/>
    <w:rsid w:val="0054156E"/>
    <w:rsid w:val="00541E2D"/>
    <w:rsid w:val="00541EB9"/>
    <w:rsid w:val="005427C9"/>
    <w:rsid w:val="005431A7"/>
    <w:rsid w:val="00546949"/>
    <w:rsid w:val="00547AFB"/>
    <w:rsid w:val="005504A5"/>
    <w:rsid w:val="00550574"/>
    <w:rsid w:val="00551C59"/>
    <w:rsid w:val="00554879"/>
    <w:rsid w:val="00555686"/>
    <w:rsid w:val="00555EAD"/>
    <w:rsid w:val="00556645"/>
    <w:rsid w:val="00557220"/>
    <w:rsid w:val="00557A71"/>
    <w:rsid w:val="00560E56"/>
    <w:rsid w:val="0056111B"/>
    <w:rsid w:val="00563396"/>
    <w:rsid w:val="00564D7D"/>
    <w:rsid w:val="0056550F"/>
    <w:rsid w:val="0056788C"/>
    <w:rsid w:val="0057096E"/>
    <w:rsid w:val="0057187A"/>
    <w:rsid w:val="00571CC8"/>
    <w:rsid w:val="00571F4E"/>
    <w:rsid w:val="0057220A"/>
    <w:rsid w:val="00573E16"/>
    <w:rsid w:val="0057499B"/>
    <w:rsid w:val="00575AB1"/>
    <w:rsid w:val="00582695"/>
    <w:rsid w:val="00583451"/>
    <w:rsid w:val="0058384C"/>
    <w:rsid w:val="00583B5E"/>
    <w:rsid w:val="005844DF"/>
    <w:rsid w:val="0058493F"/>
    <w:rsid w:val="00584A67"/>
    <w:rsid w:val="00584B69"/>
    <w:rsid w:val="0058508F"/>
    <w:rsid w:val="005859B2"/>
    <w:rsid w:val="005876CF"/>
    <w:rsid w:val="00587BCF"/>
    <w:rsid w:val="00590CE3"/>
    <w:rsid w:val="00590ED7"/>
    <w:rsid w:val="00591898"/>
    <w:rsid w:val="00592361"/>
    <w:rsid w:val="00593BDF"/>
    <w:rsid w:val="00597910"/>
    <w:rsid w:val="005A0E68"/>
    <w:rsid w:val="005A1C8E"/>
    <w:rsid w:val="005A223D"/>
    <w:rsid w:val="005A2A0F"/>
    <w:rsid w:val="005A2D3A"/>
    <w:rsid w:val="005A5730"/>
    <w:rsid w:val="005A5DD2"/>
    <w:rsid w:val="005A5DFB"/>
    <w:rsid w:val="005A6A89"/>
    <w:rsid w:val="005B0353"/>
    <w:rsid w:val="005B0A65"/>
    <w:rsid w:val="005B238E"/>
    <w:rsid w:val="005B30FF"/>
    <w:rsid w:val="005B4302"/>
    <w:rsid w:val="005B6C1B"/>
    <w:rsid w:val="005B7F96"/>
    <w:rsid w:val="005C0645"/>
    <w:rsid w:val="005C1444"/>
    <w:rsid w:val="005C3515"/>
    <w:rsid w:val="005C36D5"/>
    <w:rsid w:val="005C43A3"/>
    <w:rsid w:val="005C615E"/>
    <w:rsid w:val="005C7E5D"/>
    <w:rsid w:val="005D0397"/>
    <w:rsid w:val="005D1810"/>
    <w:rsid w:val="005D2296"/>
    <w:rsid w:val="005D3418"/>
    <w:rsid w:val="005D433A"/>
    <w:rsid w:val="005D4DBD"/>
    <w:rsid w:val="005D4EF7"/>
    <w:rsid w:val="005D67F4"/>
    <w:rsid w:val="005D7CEF"/>
    <w:rsid w:val="005E0B40"/>
    <w:rsid w:val="005E0BD0"/>
    <w:rsid w:val="005E12D8"/>
    <w:rsid w:val="005E1CC5"/>
    <w:rsid w:val="005E256F"/>
    <w:rsid w:val="005E361B"/>
    <w:rsid w:val="005E3F50"/>
    <w:rsid w:val="005E461A"/>
    <w:rsid w:val="005E5A59"/>
    <w:rsid w:val="005E638A"/>
    <w:rsid w:val="005E6E88"/>
    <w:rsid w:val="005F07EA"/>
    <w:rsid w:val="005F082C"/>
    <w:rsid w:val="005F1211"/>
    <w:rsid w:val="005F18C9"/>
    <w:rsid w:val="005F1B66"/>
    <w:rsid w:val="005F2DBD"/>
    <w:rsid w:val="005F3898"/>
    <w:rsid w:val="005F4662"/>
    <w:rsid w:val="005F4AFB"/>
    <w:rsid w:val="005F4E90"/>
    <w:rsid w:val="00600073"/>
    <w:rsid w:val="00601271"/>
    <w:rsid w:val="006019CB"/>
    <w:rsid w:val="00602AF5"/>
    <w:rsid w:val="00602B08"/>
    <w:rsid w:val="0060554D"/>
    <w:rsid w:val="00605E64"/>
    <w:rsid w:val="006067A2"/>
    <w:rsid w:val="0061046D"/>
    <w:rsid w:val="0061366F"/>
    <w:rsid w:val="00613B19"/>
    <w:rsid w:val="006147FC"/>
    <w:rsid w:val="0061676B"/>
    <w:rsid w:val="00620212"/>
    <w:rsid w:val="00621474"/>
    <w:rsid w:val="00622524"/>
    <w:rsid w:val="0062320C"/>
    <w:rsid w:val="00625CF6"/>
    <w:rsid w:val="0062660E"/>
    <w:rsid w:val="00627670"/>
    <w:rsid w:val="00627B0D"/>
    <w:rsid w:val="00630412"/>
    <w:rsid w:val="0063106B"/>
    <w:rsid w:val="006346E5"/>
    <w:rsid w:val="00635741"/>
    <w:rsid w:val="00637FE3"/>
    <w:rsid w:val="00640EAD"/>
    <w:rsid w:val="006418C9"/>
    <w:rsid w:val="0064266C"/>
    <w:rsid w:val="00645276"/>
    <w:rsid w:val="0064589D"/>
    <w:rsid w:val="00647061"/>
    <w:rsid w:val="00647C37"/>
    <w:rsid w:val="0065093F"/>
    <w:rsid w:val="00650D72"/>
    <w:rsid w:val="00652740"/>
    <w:rsid w:val="00652BB4"/>
    <w:rsid w:val="00652DE9"/>
    <w:rsid w:val="0065369C"/>
    <w:rsid w:val="00653A37"/>
    <w:rsid w:val="00654EA1"/>
    <w:rsid w:val="00655B26"/>
    <w:rsid w:val="00656CAA"/>
    <w:rsid w:val="00660B29"/>
    <w:rsid w:val="006617FE"/>
    <w:rsid w:val="0066232B"/>
    <w:rsid w:val="00663D05"/>
    <w:rsid w:val="006657C1"/>
    <w:rsid w:val="006661B2"/>
    <w:rsid w:val="00670D75"/>
    <w:rsid w:val="006724C2"/>
    <w:rsid w:val="00672690"/>
    <w:rsid w:val="00672893"/>
    <w:rsid w:val="00672E8D"/>
    <w:rsid w:val="00673879"/>
    <w:rsid w:val="00674D7D"/>
    <w:rsid w:val="00675C59"/>
    <w:rsid w:val="006761F4"/>
    <w:rsid w:val="00676A80"/>
    <w:rsid w:val="00677DF7"/>
    <w:rsid w:val="00681016"/>
    <w:rsid w:val="006816F3"/>
    <w:rsid w:val="00681E5E"/>
    <w:rsid w:val="0068248D"/>
    <w:rsid w:val="0068267E"/>
    <w:rsid w:val="00682EE6"/>
    <w:rsid w:val="0068334C"/>
    <w:rsid w:val="006834FA"/>
    <w:rsid w:val="006847DB"/>
    <w:rsid w:val="00684C02"/>
    <w:rsid w:val="006853BA"/>
    <w:rsid w:val="0068544A"/>
    <w:rsid w:val="00686FFD"/>
    <w:rsid w:val="00690728"/>
    <w:rsid w:val="00691991"/>
    <w:rsid w:val="00692D5B"/>
    <w:rsid w:val="006937AD"/>
    <w:rsid w:val="00693CB6"/>
    <w:rsid w:val="00695233"/>
    <w:rsid w:val="00695568"/>
    <w:rsid w:val="00695CE0"/>
    <w:rsid w:val="00697E74"/>
    <w:rsid w:val="006A14A1"/>
    <w:rsid w:val="006A3D16"/>
    <w:rsid w:val="006A67B5"/>
    <w:rsid w:val="006B2E00"/>
    <w:rsid w:val="006B2F97"/>
    <w:rsid w:val="006B314C"/>
    <w:rsid w:val="006B3D97"/>
    <w:rsid w:val="006B3E3F"/>
    <w:rsid w:val="006B4137"/>
    <w:rsid w:val="006B4AFA"/>
    <w:rsid w:val="006B4C44"/>
    <w:rsid w:val="006B6B24"/>
    <w:rsid w:val="006B7C5E"/>
    <w:rsid w:val="006C11BD"/>
    <w:rsid w:val="006C30FD"/>
    <w:rsid w:val="006C3211"/>
    <w:rsid w:val="006C32A6"/>
    <w:rsid w:val="006C339D"/>
    <w:rsid w:val="006C3F2A"/>
    <w:rsid w:val="006C549C"/>
    <w:rsid w:val="006C6553"/>
    <w:rsid w:val="006D13A3"/>
    <w:rsid w:val="006D2AAE"/>
    <w:rsid w:val="006D2C22"/>
    <w:rsid w:val="006D3194"/>
    <w:rsid w:val="006D5001"/>
    <w:rsid w:val="006E0286"/>
    <w:rsid w:val="006E03CC"/>
    <w:rsid w:val="006E1B42"/>
    <w:rsid w:val="006E23F3"/>
    <w:rsid w:val="006E505A"/>
    <w:rsid w:val="006E61FF"/>
    <w:rsid w:val="006E7897"/>
    <w:rsid w:val="006F1020"/>
    <w:rsid w:val="006F139A"/>
    <w:rsid w:val="006F1634"/>
    <w:rsid w:val="006F2710"/>
    <w:rsid w:val="006F2749"/>
    <w:rsid w:val="006F2794"/>
    <w:rsid w:val="006F30DC"/>
    <w:rsid w:val="006F44A0"/>
    <w:rsid w:val="006F4CAC"/>
    <w:rsid w:val="006F73DC"/>
    <w:rsid w:val="006F7953"/>
    <w:rsid w:val="006F7A99"/>
    <w:rsid w:val="00701456"/>
    <w:rsid w:val="0070254D"/>
    <w:rsid w:val="00703621"/>
    <w:rsid w:val="00705380"/>
    <w:rsid w:val="00706059"/>
    <w:rsid w:val="00707A6E"/>
    <w:rsid w:val="00712548"/>
    <w:rsid w:val="00712806"/>
    <w:rsid w:val="00712A3E"/>
    <w:rsid w:val="0071419C"/>
    <w:rsid w:val="00715015"/>
    <w:rsid w:val="007152CE"/>
    <w:rsid w:val="007153FF"/>
    <w:rsid w:val="00715A18"/>
    <w:rsid w:val="007165F2"/>
    <w:rsid w:val="00716C6D"/>
    <w:rsid w:val="00720B19"/>
    <w:rsid w:val="00721256"/>
    <w:rsid w:val="00721339"/>
    <w:rsid w:val="00721567"/>
    <w:rsid w:val="00721B8A"/>
    <w:rsid w:val="00721F73"/>
    <w:rsid w:val="00723B32"/>
    <w:rsid w:val="00724164"/>
    <w:rsid w:val="00724237"/>
    <w:rsid w:val="00724387"/>
    <w:rsid w:val="00724599"/>
    <w:rsid w:val="00725549"/>
    <w:rsid w:val="00725AF4"/>
    <w:rsid w:val="00725F40"/>
    <w:rsid w:val="00726260"/>
    <w:rsid w:val="00726AB3"/>
    <w:rsid w:val="007278C1"/>
    <w:rsid w:val="007308A3"/>
    <w:rsid w:val="007314EA"/>
    <w:rsid w:val="00731810"/>
    <w:rsid w:val="00731BDE"/>
    <w:rsid w:val="00732AA8"/>
    <w:rsid w:val="00734B97"/>
    <w:rsid w:val="00734ED4"/>
    <w:rsid w:val="007359EC"/>
    <w:rsid w:val="00737956"/>
    <w:rsid w:val="00737B34"/>
    <w:rsid w:val="0074146E"/>
    <w:rsid w:val="00741E25"/>
    <w:rsid w:val="007422FD"/>
    <w:rsid w:val="007435D2"/>
    <w:rsid w:val="00744766"/>
    <w:rsid w:val="00745086"/>
    <w:rsid w:val="007456C5"/>
    <w:rsid w:val="00745CE2"/>
    <w:rsid w:val="00745E0B"/>
    <w:rsid w:val="007461E5"/>
    <w:rsid w:val="0074744A"/>
    <w:rsid w:val="0074775B"/>
    <w:rsid w:val="00750238"/>
    <w:rsid w:val="00750FEA"/>
    <w:rsid w:val="007559C2"/>
    <w:rsid w:val="0075676A"/>
    <w:rsid w:val="00756F69"/>
    <w:rsid w:val="00757160"/>
    <w:rsid w:val="00757ED4"/>
    <w:rsid w:val="007638D9"/>
    <w:rsid w:val="00766E66"/>
    <w:rsid w:val="00767AD9"/>
    <w:rsid w:val="007710F3"/>
    <w:rsid w:val="0077213C"/>
    <w:rsid w:val="007730A6"/>
    <w:rsid w:val="007753AE"/>
    <w:rsid w:val="007767BA"/>
    <w:rsid w:val="00776F26"/>
    <w:rsid w:val="0077792C"/>
    <w:rsid w:val="007779BD"/>
    <w:rsid w:val="007806F0"/>
    <w:rsid w:val="00780BB3"/>
    <w:rsid w:val="007814C4"/>
    <w:rsid w:val="00781DA5"/>
    <w:rsid w:val="00782676"/>
    <w:rsid w:val="007829E3"/>
    <w:rsid w:val="00782BE5"/>
    <w:rsid w:val="007832DC"/>
    <w:rsid w:val="00783854"/>
    <w:rsid w:val="00783C1E"/>
    <w:rsid w:val="00784E56"/>
    <w:rsid w:val="00785222"/>
    <w:rsid w:val="00785332"/>
    <w:rsid w:val="00786788"/>
    <w:rsid w:val="00787905"/>
    <w:rsid w:val="00787B6F"/>
    <w:rsid w:val="00787BF8"/>
    <w:rsid w:val="00790122"/>
    <w:rsid w:val="007943EB"/>
    <w:rsid w:val="00794CB1"/>
    <w:rsid w:val="007953E1"/>
    <w:rsid w:val="0079599A"/>
    <w:rsid w:val="00795D10"/>
    <w:rsid w:val="007965C1"/>
    <w:rsid w:val="007972D9"/>
    <w:rsid w:val="007A0040"/>
    <w:rsid w:val="007A230D"/>
    <w:rsid w:val="007A4E86"/>
    <w:rsid w:val="007A543E"/>
    <w:rsid w:val="007A6241"/>
    <w:rsid w:val="007A748B"/>
    <w:rsid w:val="007A7661"/>
    <w:rsid w:val="007B13C5"/>
    <w:rsid w:val="007B1575"/>
    <w:rsid w:val="007B188F"/>
    <w:rsid w:val="007B2289"/>
    <w:rsid w:val="007B3621"/>
    <w:rsid w:val="007B3A86"/>
    <w:rsid w:val="007B541A"/>
    <w:rsid w:val="007B6EE1"/>
    <w:rsid w:val="007B7824"/>
    <w:rsid w:val="007C12F7"/>
    <w:rsid w:val="007C173F"/>
    <w:rsid w:val="007C2387"/>
    <w:rsid w:val="007C2FD8"/>
    <w:rsid w:val="007C325F"/>
    <w:rsid w:val="007C3A12"/>
    <w:rsid w:val="007C525F"/>
    <w:rsid w:val="007C5D52"/>
    <w:rsid w:val="007C638F"/>
    <w:rsid w:val="007C63E8"/>
    <w:rsid w:val="007C73D8"/>
    <w:rsid w:val="007C73E1"/>
    <w:rsid w:val="007C7F00"/>
    <w:rsid w:val="007D0AA0"/>
    <w:rsid w:val="007D1519"/>
    <w:rsid w:val="007D1BBD"/>
    <w:rsid w:val="007D430D"/>
    <w:rsid w:val="007D5929"/>
    <w:rsid w:val="007D5DA0"/>
    <w:rsid w:val="007D7A32"/>
    <w:rsid w:val="007D7B00"/>
    <w:rsid w:val="007E0EDE"/>
    <w:rsid w:val="007E16DE"/>
    <w:rsid w:val="007E3B8A"/>
    <w:rsid w:val="007E3D79"/>
    <w:rsid w:val="007E5579"/>
    <w:rsid w:val="007E6538"/>
    <w:rsid w:val="007E6D97"/>
    <w:rsid w:val="007E6F70"/>
    <w:rsid w:val="007E7C0E"/>
    <w:rsid w:val="007E7E00"/>
    <w:rsid w:val="007F07C9"/>
    <w:rsid w:val="007F2041"/>
    <w:rsid w:val="007F586A"/>
    <w:rsid w:val="007F63BA"/>
    <w:rsid w:val="007F774F"/>
    <w:rsid w:val="00802189"/>
    <w:rsid w:val="00802876"/>
    <w:rsid w:val="00802FA5"/>
    <w:rsid w:val="008032A1"/>
    <w:rsid w:val="00803578"/>
    <w:rsid w:val="0080358B"/>
    <w:rsid w:val="00804739"/>
    <w:rsid w:val="00805069"/>
    <w:rsid w:val="008062BA"/>
    <w:rsid w:val="0080648B"/>
    <w:rsid w:val="00806E74"/>
    <w:rsid w:val="00807316"/>
    <w:rsid w:val="008079DC"/>
    <w:rsid w:val="008106F3"/>
    <w:rsid w:val="00810839"/>
    <w:rsid w:val="00811464"/>
    <w:rsid w:val="008116F6"/>
    <w:rsid w:val="00811C28"/>
    <w:rsid w:val="00812285"/>
    <w:rsid w:val="0081278F"/>
    <w:rsid w:val="008148CB"/>
    <w:rsid w:val="008149EB"/>
    <w:rsid w:val="00814DCD"/>
    <w:rsid w:val="00814EF9"/>
    <w:rsid w:val="00816F7C"/>
    <w:rsid w:val="00821DA1"/>
    <w:rsid w:val="008220A6"/>
    <w:rsid w:val="00822139"/>
    <w:rsid w:val="00822DC1"/>
    <w:rsid w:val="0082341B"/>
    <w:rsid w:val="00823572"/>
    <w:rsid w:val="00827C2B"/>
    <w:rsid w:val="0083028C"/>
    <w:rsid w:val="00830ED1"/>
    <w:rsid w:val="00831EBF"/>
    <w:rsid w:val="00833451"/>
    <w:rsid w:val="008334A2"/>
    <w:rsid w:val="008336F2"/>
    <w:rsid w:val="00834ACB"/>
    <w:rsid w:val="008354A7"/>
    <w:rsid w:val="00836B3C"/>
    <w:rsid w:val="008372EE"/>
    <w:rsid w:val="0083753F"/>
    <w:rsid w:val="008430E3"/>
    <w:rsid w:val="00844CB9"/>
    <w:rsid w:val="008465A1"/>
    <w:rsid w:val="00846CA7"/>
    <w:rsid w:val="00847DBA"/>
    <w:rsid w:val="008540B1"/>
    <w:rsid w:val="008542EF"/>
    <w:rsid w:val="00855C34"/>
    <w:rsid w:val="00856CE8"/>
    <w:rsid w:val="00857073"/>
    <w:rsid w:val="00857B8C"/>
    <w:rsid w:val="00860000"/>
    <w:rsid w:val="00860C8E"/>
    <w:rsid w:val="00861B80"/>
    <w:rsid w:val="00862F5F"/>
    <w:rsid w:val="0086499C"/>
    <w:rsid w:val="00865669"/>
    <w:rsid w:val="00865904"/>
    <w:rsid w:val="0087265B"/>
    <w:rsid w:val="00872BDF"/>
    <w:rsid w:val="00873E04"/>
    <w:rsid w:val="0087456E"/>
    <w:rsid w:val="00874618"/>
    <w:rsid w:val="00876094"/>
    <w:rsid w:val="008768A4"/>
    <w:rsid w:val="008772CB"/>
    <w:rsid w:val="00877950"/>
    <w:rsid w:val="008808CC"/>
    <w:rsid w:val="0088144F"/>
    <w:rsid w:val="008827F9"/>
    <w:rsid w:val="00883A12"/>
    <w:rsid w:val="00885086"/>
    <w:rsid w:val="00886870"/>
    <w:rsid w:val="008868D7"/>
    <w:rsid w:val="008868DD"/>
    <w:rsid w:val="00886D71"/>
    <w:rsid w:val="00886F06"/>
    <w:rsid w:val="00887D49"/>
    <w:rsid w:val="00890AEF"/>
    <w:rsid w:val="00890DF7"/>
    <w:rsid w:val="00891C93"/>
    <w:rsid w:val="008936B0"/>
    <w:rsid w:val="008971B7"/>
    <w:rsid w:val="008A2B53"/>
    <w:rsid w:val="008A2FCA"/>
    <w:rsid w:val="008A3302"/>
    <w:rsid w:val="008A354A"/>
    <w:rsid w:val="008A3959"/>
    <w:rsid w:val="008A4886"/>
    <w:rsid w:val="008A4BE9"/>
    <w:rsid w:val="008A4CBE"/>
    <w:rsid w:val="008A5976"/>
    <w:rsid w:val="008A5EB0"/>
    <w:rsid w:val="008A6950"/>
    <w:rsid w:val="008A79C2"/>
    <w:rsid w:val="008B0F53"/>
    <w:rsid w:val="008B10C0"/>
    <w:rsid w:val="008B5AE6"/>
    <w:rsid w:val="008B60AD"/>
    <w:rsid w:val="008B693E"/>
    <w:rsid w:val="008B6B43"/>
    <w:rsid w:val="008B705B"/>
    <w:rsid w:val="008B7257"/>
    <w:rsid w:val="008B75F1"/>
    <w:rsid w:val="008C017F"/>
    <w:rsid w:val="008C07DF"/>
    <w:rsid w:val="008C0921"/>
    <w:rsid w:val="008C1C7C"/>
    <w:rsid w:val="008C221F"/>
    <w:rsid w:val="008C3E4E"/>
    <w:rsid w:val="008C4C14"/>
    <w:rsid w:val="008C66B3"/>
    <w:rsid w:val="008C6A18"/>
    <w:rsid w:val="008C6EEC"/>
    <w:rsid w:val="008C7167"/>
    <w:rsid w:val="008D0F98"/>
    <w:rsid w:val="008D1883"/>
    <w:rsid w:val="008D267A"/>
    <w:rsid w:val="008D3015"/>
    <w:rsid w:val="008D4BEC"/>
    <w:rsid w:val="008D4F88"/>
    <w:rsid w:val="008D56D2"/>
    <w:rsid w:val="008D5FFF"/>
    <w:rsid w:val="008D7CD7"/>
    <w:rsid w:val="008E055E"/>
    <w:rsid w:val="008E103E"/>
    <w:rsid w:val="008E29E2"/>
    <w:rsid w:val="008E3A8A"/>
    <w:rsid w:val="008E4DAF"/>
    <w:rsid w:val="008E4E75"/>
    <w:rsid w:val="008E6155"/>
    <w:rsid w:val="008E7800"/>
    <w:rsid w:val="008F0190"/>
    <w:rsid w:val="008F0213"/>
    <w:rsid w:val="008F30CF"/>
    <w:rsid w:val="008F3F8C"/>
    <w:rsid w:val="008F5900"/>
    <w:rsid w:val="008F6018"/>
    <w:rsid w:val="008F6F36"/>
    <w:rsid w:val="009000C5"/>
    <w:rsid w:val="009000E6"/>
    <w:rsid w:val="0090141C"/>
    <w:rsid w:val="0090178F"/>
    <w:rsid w:val="009019E7"/>
    <w:rsid w:val="00901BB1"/>
    <w:rsid w:val="00903A9C"/>
    <w:rsid w:val="0090405C"/>
    <w:rsid w:val="00904276"/>
    <w:rsid w:val="00904E47"/>
    <w:rsid w:val="00905853"/>
    <w:rsid w:val="00906795"/>
    <w:rsid w:val="00906CA3"/>
    <w:rsid w:val="009071EA"/>
    <w:rsid w:val="00910152"/>
    <w:rsid w:val="0091064B"/>
    <w:rsid w:val="009107DC"/>
    <w:rsid w:val="009113EF"/>
    <w:rsid w:val="009122FE"/>
    <w:rsid w:val="009126BF"/>
    <w:rsid w:val="00912B3B"/>
    <w:rsid w:val="00915DE3"/>
    <w:rsid w:val="00916A2F"/>
    <w:rsid w:val="00916BDF"/>
    <w:rsid w:val="00920CC5"/>
    <w:rsid w:val="0092107B"/>
    <w:rsid w:val="00921345"/>
    <w:rsid w:val="00921862"/>
    <w:rsid w:val="00921C40"/>
    <w:rsid w:val="0092223F"/>
    <w:rsid w:val="00922AFD"/>
    <w:rsid w:val="00924963"/>
    <w:rsid w:val="00930E1C"/>
    <w:rsid w:val="00932059"/>
    <w:rsid w:val="009326D8"/>
    <w:rsid w:val="00932C70"/>
    <w:rsid w:val="00933FBD"/>
    <w:rsid w:val="00934BD6"/>
    <w:rsid w:val="00934E19"/>
    <w:rsid w:val="00935C5C"/>
    <w:rsid w:val="009419F2"/>
    <w:rsid w:val="00943203"/>
    <w:rsid w:val="00943601"/>
    <w:rsid w:val="00945A70"/>
    <w:rsid w:val="009470EC"/>
    <w:rsid w:val="00947968"/>
    <w:rsid w:val="00947D9A"/>
    <w:rsid w:val="00950872"/>
    <w:rsid w:val="00951986"/>
    <w:rsid w:val="00955611"/>
    <w:rsid w:val="0095697A"/>
    <w:rsid w:val="009575E7"/>
    <w:rsid w:val="00957CA0"/>
    <w:rsid w:val="00962AAB"/>
    <w:rsid w:val="009631A2"/>
    <w:rsid w:val="009643B1"/>
    <w:rsid w:val="00965330"/>
    <w:rsid w:val="00965503"/>
    <w:rsid w:val="00965617"/>
    <w:rsid w:val="009658CB"/>
    <w:rsid w:val="00966010"/>
    <w:rsid w:val="00967D82"/>
    <w:rsid w:val="00970581"/>
    <w:rsid w:val="00972E33"/>
    <w:rsid w:val="009737A0"/>
    <w:rsid w:val="00973948"/>
    <w:rsid w:val="00974965"/>
    <w:rsid w:val="00974CE0"/>
    <w:rsid w:val="0098086A"/>
    <w:rsid w:val="00982C08"/>
    <w:rsid w:val="009853B6"/>
    <w:rsid w:val="009900FB"/>
    <w:rsid w:val="00993213"/>
    <w:rsid w:val="00993ADC"/>
    <w:rsid w:val="009945FA"/>
    <w:rsid w:val="00995031"/>
    <w:rsid w:val="009951A2"/>
    <w:rsid w:val="009A0649"/>
    <w:rsid w:val="009A1B8F"/>
    <w:rsid w:val="009A3581"/>
    <w:rsid w:val="009A474B"/>
    <w:rsid w:val="009A589E"/>
    <w:rsid w:val="009A6C9F"/>
    <w:rsid w:val="009A6E39"/>
    <w:rsid w:val="009A71ED"/>
    <w:rsid w:val="009A7A37"/>
    <w:rsid w:val="009A7FE9"/>
    <w:rsid w:val="009B04FE"/>
    <w:rsid w:val="009B18B2"/>
    <w:rsid w:val="009B2129"/>
    <w:rsid w:val="009B37CD"/>
    <w:rsid w:val="009B3CEE"/>
    <w:rsid w:val="009B3F79"/>
    <w:rsid w:val="009B50B0"/>
    <w:rsid w:val="009B547C"/>
    <w:rsid w:val="009B5845"/>
    <w:rsid w:val="009B5916"/>
    <w:rsid w:val="009B6511"/>
    <w:rsid w:val="009B7613"/>
    <w:rsid w:val="009B779C"/>
    <w:rsid w:val="009C017E"/>
    <w:rsid w:val="009C1777"/>
    <w:rsid w:val="009C2392"/>
    <w:rsid w:val="009C360B"/>
    <w:rsid w:val="009C75DB"/>
    <w:rsid w:val="009D11C2"/>
    <w:rsid w:val="009D1AD6"/>
    <w:rsid w:val="009D214F"/>
    <w:rsid w:val="009D563D"/>
    <w:rsid w:val="009D6100"/>
    <w:rsid w:val="009D680D"/>
    <w:rsid w:val="009E05F8"/>
    <w:rsid w:val="009E0697"/>
    <w:rsid w:val="009E1350"/>
    <w:rsid w:val="009E1601"/>
    <w:rsid w:val="009E1C41"/>
    <w:rsid w:val="009E34CF"/>
    <w:rsid w:val="009E3DF0"/>
    <w:rsid w:val="009E410E"/>
    <w:rsid w:val="009E4214"/>
    <w:rsid w:val="009E494A"/>
    <w:rsid w:val="009E49C6"/>
    <w:rsid w:val="009E5046"/>
    <w:rsid w:val="009E515B"/>
    <w:rsid w:val="009E522E"/>
    <w:rsid w:val="009E5E12"/>
    <w:rsid w:val="009E7726"/>
    <w:rsid w:val="009F0B84"/>
    <w:rsid w:val="009F3F09"/>
    <w:rsid w:val="009F44EF"/>
    <w:rsid w:val="009F5B3A"/>
    <w:rsid w:val="009F5C28"/>
    <w:rsid w:val="00A00EC2"/>
    <w:rsid w:val="00A018F1"/>
    <w:rsid w:val="00A01EF1"/>
    <w:rsid w:val="00A02663"/>
    <w:rsid w:val="00A02883"/>
    <w:rsid w:val="00A02A94"/>
    <w:rsid w:val="00A02B1A"/>
    <w:rsid w:val="00A03100"/>
    <w:rsid w:val="00A03864"/>
    <w:rsid w:val="00A04212"/>
    <w:rsid w:val="00A0441D"/>
    <w:rsid w:val="00A06742"/>
    <w:rsid w:val="00A10B6D"/>
    <w:rsid w:val="00A13933"/>
    <w:rsid w:val="00A1601D"/>
    <w:rsid w:val="00A172C1"/>
    <w:rsid w:val="00A174FE"/>
    <w:rsid w:val="00A175E4"/>
    <w:rsid w:val="00A17AD4"/>
    <w:rsid w:val="00A202DA"/>
    <w:rsid w:val="00A216DD"/>
    <w:rsid w:val="00A2254E"/>
    <w:rsid w:val="00A2386D"/>
    <w:rsid w:val="00A250D4"/>
    <w:rsid w:val="00A27223"/>
    <w:rsid w:val="00A2724E"/>
    <w:rsid w:val="00A27635"/>
    <w:rsid w:val="00A27F5D"/>
    <w:rsid w:val="00A30FDC"/>
    <w:rsid w:val="00A3196F"/>
    <w:rsid w:val="00A323A5"/>
    <w:rsid w:val="00A338AD"/>
    <w:rsid w:val="00A35CE0"/>
    <w:rsid w:val="00A3608C"/>
    <w:rsid w:val="00A3682A"/>
    <w:rsid w:val="00A370F7"/>
    <w:rsid w:val="00A41524"/>
    <w:rsid w:val="00A4267F"/>
    <w:rsid w:val="00A426A0"/>
    <w:rsid w:val="00A43F2E"/>
    <w:rsid w:val="00A44599"/>
    <w:rsid w:val="00A44E14"/>
    <w:rsid w:val="00A45F1A"/>
    <w:rsid w:val="00A476A1"/>
    <w:rsid w:val="00A47E50"/>
    <w:rsid w:val="00A50598"/>
    <w:rsid w:val="00A50913"/>
    <w:rsid w:val="00A51438"/>
    <w:rsid w:val="00A51F94"/>
    <w:rsid w:val="00A52F45"/>
    <w:rsid w:val="00A560F6"/>
    <w:rsid w:val="00A6027B"/>
    <w:rsid w:val="00A60FAF"/>
    <w:rsid w:val="00A61339"/>
    <w:rsid w:val="00A614A6"/>
    <w:rsid w:val="00A615A4"/>
    <w:rsid w:val="00A623D0"/>
    <w:rsid w:val="00A625E9"/>
    <w:rsid w:val="00A6397C"/>
    <w:rsid w:val="00A6505E"/>
    <w:rsid w:val="00A65379"/>
    <w:rsid w:val="00A70351"/>
    <w:rsid w:val="00A705D4"/>
    <w:rsid w:val="00A70773"/>
    <w:rsid w:val="00A7302E"/>
    <w:rsid w:val="00A73EBF"/>
    <w:rsid w:val="00A748C0"/>
    <w:rsid w:val="00A74CD3"/>
    <w:rsid w:val="00A75E18"/>
    <w:rsid w:val="00A76AB5"/>
    <w:rsid w:val="00A77E03"/>
    <w:rsid w:val="00A8097C"/>
    <w:rsid w:val="00A80AAB"/>
    <w:rsid w:val="00A81B83"/>
    <w:rsid w:val="00A82802"/>
    <w:rsid w:val="00A82E93"/>
    <w:rsid w:val="00A85917"/>
    <w:rsid w:val="00A85F9E"/>
    <w:rsid w:val="00A8741C"/>
    <w:rsid w:val="00A90804"/>
    <w:rsid w:val="00A90910"/>
    <w:rsid w:val="00A93705"/>
    <w:rsid w:val="00A93E73"/>
    <w:rsid w:val="00A94257"/>
    <w:rsid w:val="00A9514B"/>
    <w:rsid w:val="00A97553"/>
    <w:rsid w:val="00AA05BA"/>
    <w:rsid w:val="00AA305B"/>
    <w:rsid w:val="00AA34B1"/>
    <w:rsid w:val="00AA483B"/>
    <w:rsid w:val="00AA49BF"/>
    <w:rsid w:val="00AA579C"/>
    <w:rsid w:val="00AA5C73"/>
    <w:rsid w:val="00AA6987"/>
    <w:rsid w:val="00AA7920"/>
    <w:rsid w:val="00AB07AC"/>
    <w:rsid w:val="00AB1641"/>
    <w:rsid w:val="00AB3735"/>
    <w:rsid w:val="00AB4FB2"/>
    <w:rsid w:val="00AB5508"/>
    <w:rsid w:val="00AB5D5D"/>
    <w:rsid w:val="00AC15DE"/>
    <w:rsid w:val="00AC16C7"/>
    <w:rsid w:val="00AC2FB9"/>
    <w:rsid w:val="00AC38B1"/>
    <w:rsid w:val="00AC43BF"/>
    <w:rsid w:val="00AC4895"/>
    <w:rsid w:val="00AC54F2"/>
    <w:rsid w:val="00AC5F9E"/>
    <w:rsid w:val="00AC602D"/>
    <w:rsid w:val="00AC64AE"/>
    <w:rsid w:val="00AC6978"/>
    <w:rsid w:val="00AC6985"/>
    <w:rsid w:val="00AD00B8"/>
    <w:rsid w:val="00AD0F41"/>
    <w:rsid w:val="00AD367B"/>
    <w:rsid w:val="00AD38D6"/>
    <w:rsid w:val="00AD3A57"/>
    <w:rsid w:val="00AD6054"/>
    <w:rsid w:val="00AD64BE"/>
    <w:rsid w:val="00AD6B72"/>
    <w:rsid w:val="00AE1DCD"/>
    <w:rsid w:val="00AE2E50"/>
    <w:rsid w:val="00AE324C"/>
    <w:rsid w:val="00AE4991"/>
    <w:rsid w:val="00AE4CE9"/>
    <w:rsid w:val="00AE4E13"/>
    <w:rsid w:val="00AE5C3A"/>
    <w:rsid w:val="00AE6515"/>
    <w:rsid w:val="00AE76F5"/>
    <w:rsid w:val="00AF090F"/>
    <w:rsid w:val="00AF0BB5"/>
    <w:rsid w:val="00AF2E91"/>
    <w:rsid w:val="00AF3D20"/>
    <w:rsid w:val="00AF4419"/>
    <w:rsid w:val="00B00216"/>
    <w:rsid w:val="00B02337"/>
    <w:rsid w:val="00B02CAF"/>
    <w:rsid w:val="00B03585"/>
    <w:rsid w:val="00B047BD"/>
    <w:rsid w:val="00B1176B"/>
    <w:rsid w:val="00B121EF"/>
    <w:rsid w:val="00B12703"/>
    <w:rsid w:val="00B13064"/>
    <w:rsid w:val="00B1521C"/>
    <w:rsid w:val="00B15587"/>
    <w:rsid w:val="00B209BA"/>
    <w:rsid w:val="00B20B75"/>
    <w:rsid w:val="00B2138F"/>
    <w:rsid w:val="00B220CD"/>
    <w:rsid w:val="00B23FD8"/>
    <w:rsid w:val="00B24E5A"/>
    <w:rsid w:val="00B259A6"/>
    <w:rsid w:val="00B2613E"/>
    <w:rsid w:val="00B30660"/>
    <w:rsid w:val="00B3071D"/>
    <w:rsid w:val="00B3102F"/>
    <w:rsid w:val="00B33823"/>
    <w:rsid w:val="00B34607"/>
    <w:rsid w:val="00B34A86"/>
    <w:rsid w:val="00B34B40"/>
    <w:rsid w:val="00B3558E"/>
    <w:rsid w:val="00B3629B"/>
    <w:rsid w:val="00B36D35"/>
    <w:rsid w:val="00B37412"/>
    <w:rsid w:val="00B42000"/>
    <w:rsid w:val="00B42585"/>
    <w:rsid w:val="00B42A5B"/>
    <w:rsid w:val="00B43683"/>
    <w:rsid w:val="00B4590B"/>
    <w:rsid w:val="00B46E92"/>
    <w:rsid w:val="00B47CD9"/>
    <w:rsid w:val="00B505C3"/>
    <w:rsid w:val="00B52436"/>
    <w:rsid w:val="00B527A4"/>
    <w:rsid w:val="00B527ED"/>
    <w:rsid w:val="00B52A1B"/>
    <w:rsid w:val="00B5737C"/>
    <w:rsid w:val="00B60A62"/>
    <w:rsid w:val="00B60CE5"/>
    <w:rsid w:val="00B61EC2"/>
    <w:rsid w:val="00B61F59"/>
    <w:rsid w:val="00B620AD"/>
    <w:rsid w:val="00B6507A"/>
    <w:rsid w:val="00B66DD7"/>
    <w:rsid w:val="00B709A5"/>
    <w:rsid w:val="00B70B17"/>
    <w:rsid w:val="00B70F94"/>
    <w:rsid w:val="00B7238A"/>
    <w:rsid w:val="00B73C1A"/>
    <w:rsid w:val="00B73F48"/>
    <w:rsid w:val="00B74AA5"/>
    <w:rsid w:val="00B7519A"/>
    <w:rsid w:val="00B75B6A"/>
    <w:rsid w:val="00B76B0C"/>
    <w:rsid w:val="00B80102"/>
    <w:rsid w:val="00B80856"/>
    <w:rsid w:val="00B81FC4"/>
    <w:rsid w:val="00B83BF1"/>
    <w:rsid w:val="00B842D4"/>
    <w:rsid w:val="00B845BC"/>
    <w:rsid w:val="00B848F0"/>
    <w:rsid w:val="00B85B6B"/>
    <w:rsid w:val="00B85E01"/>
    <w:rsid w:val="00B85F53"/>
    <w:rsid w:val="00B862F0"/>
    <w:rsid w:val="00B8682E"/>
    <w:rsid w:val="00B8756B"/>
    <w:rsid w:val="00B91156"/>
    <w:rsid w:val="00B911A0"/>
    <w:rsid w:val="00B91F0F"/>
    <w:rsid w:val="00B925AD"/>
    <w:rsid w:val="00B92F8D"/>
    <w:rsid w:val="00B930CF"/>
    <w:rsid w:val="00B933EC"/>
    <w:rsid w:val="00B93EBC"/>
    <w:rsid w:val="00B94387"/>
    <w:rsid w:val="00B94E90"/>
    <w:rsid w:val="00B9644E"/>
    <w:rsid w:val="00B9672A"/>
    <w:rsid w:val="00B97AE0"/>
    <w:rsid w:val="00BA0FED"/>
    <w:rsid w:val="00BA3342"/>
    <w:rsid w:val="00BA3D2A"/>
    <w:rsid w:val="00BA55F6"/>
    <w:rsid w:val="00BA5C63"/>
    <w:rsid w:val="00BA6D44"/>
    <w:rsid w:val="00BB01AD"/>
    <w:rsid w:val="00BB036E"/>
    <w:rsid w:val="00BB168B"/>
    <w:rsid w:val="00BB20B7"/>
    <w:rsid w:val="00BB2498"/>
    <w:rsid w:val="00BB34C1"/>
    <w:rsid w:val="00BB54FB"/>
    <w:rsid w:val="00BB6D11"/>
    <w:rsid w:val="00BB7518"/>
    <w:rsid w:val="00BB7C43"/>
    <w:rsid w:val="00BC11FD"/>
    <w:rsid w:val="00BC175B"/>
    <w:rsid w:val="00BC28A5"/>
    <w:rsid w:val="00BC2CEC"/>
    <w:rsid w:val="00BC2E9C"/>
    <w:rsid w:val="00BC68BE"/>
    <w:rsid w:val="00BD15F0"/>
    <w:rsid w:val="00BD1C80"/>
    <w:rsid w:val="00BD2078"/>
    <w:rsid w:val="00BD39EF"/>
    <w:rsid w:val="00BD404A"/>
    <w:rsid w:val="00BD42C0"/>
    <w:rsid w:val="00BD603C"/>
    <w:rsid w:val="00BD67F4"/>
    <w:rsid w:val="00BE0349"/>
    <w:rsid w:val="00BE09CB"/>
    <w:rsid w:val="00BE1E88"/>
    <w:rsid w:val="00BE2445"/>
    <w:rsid w:val="00BE2FB1"/>
    <w:rsid w:val="00BE36F8"/>
    <w:rsid w:val="00BE42A1"/>
    <w:rsid w:val="00BE4885"/>
    <w:rsid w:val="00BE749A"/>
    <w:rsid w:val="00BE75BB"/>
    <w:rsid w:val="00BF0D86"/>
    <w:rsid w:val="00BF10B7"/>
    <w:rsid w:val="00BF1811"/>
    <w:rsid w:val="00BF38FB"/>
    <w:rsid w:val="00BF4702"/>
    <w:rsid w:val="00BF6C5E"/>
    <w:rsid w:val="00BF7369"/>
    <w:rsid w:val="00C004BD"/>
    <w:rsid w:val="00C00BDD"/>
    <w:rsid w:val="00C00EB1"/>
    <w:rsid w:val="00C0133B"/>
    <w:rsid w:val="00C032E1"/>
    <w:rsid w:val="00C0488F"/>
    <w:rsid w:val="00C05AB2"/>
    <w:rsid w:val="00C071B6"/>
    <w:rsid w:val="00C0739E"/>
    <w:rsid w:val="00C07806"/>
    <w:rsid w:val="00C110B2"/>
    <w:rsid w:val="00C1113C"/>
    <w:rsid w:val="00C11304"/>
    <w:rsid w:val="00C13F8C"/>
    <w:rsid w:val="00C14DB5"/>
    <w:rsid w:val="00C156A5"/>
    <w:rsid w:val="00C15D05"/>
    <w:rsid w:val="00C166C2"/>
    <w:rsid w:val="00C16AB0"/>
    <w:rsid w:val="00C21DB3"/>
    <w:rsid w:val="00C21E9D"/>
    <w:rsid w:val="00C23211"/>
    <w:rsid w:val="00C23639"/>
    <w:rsid w:val="00C23C48"/>
    <w:rsid w:val="00C255BF"/>
    <w:rsid w:val="00C25849"/>
    <w:rsid w:val="00C25C14"/>
    <w:rsid w:val="00C27623"/>
    <w:rsid w:val="00C27B47"/>
    <w:rsid w:val="00C31E1E"/>
    <w:rsid w:val="00C32CA5"/>
    <w:rsid w:val="00C33317"/>
    <w:rsid w:val="00C33F54"/>
    <w:rsid w:val="00C34062"/>
    <w:rsid w:val="00C346C9"/>
    <w:rsid w:val="00C3573D"/>
    <w:rsid w:val="00C35C88"/>
    <w:rsid w:val="00C36FAB"/>
    <w:rsid w:val="00C3773C"/>
    <w:rsid w:val="00C37E3F"/>
    <w:rsid w:val="00C41940"/>
    <w:rsid w:val="00C42547"/>
    <w:rsid w:val="00C4407C"/>
    <w:rsid w:val="00C465DC"/>
    <w:rsid w:val="00C46896"/>
    <w:rsid w:val="00C52D09"/>
    <w:rsid w:val="00C5387F"/>
    <w:rsid w:val="00C5403E"/>
    <w:rsid w:val="00C54055"/>
    <w:rsid w:val="00C54369"/>
    <w:rsid w:val="00C5465E"/>
    <w:rsid w:val="00C54C76"/>
    <w:rsid w:val="00C567D4"/>
    <w:rsid w:val="00C573D1"/>
    <w:rsid w:val="00C60681"/>
    <w:rsid w:val="00C62898"/>
    <w:rsid w:val="00C63647"/>
    <w:rsid w:val="00C63FCA"/>
    <w:rsid w:val="00C644E9"/>
    <w:rsid w:val="00C64D12"/>
    <w:rsid w:val="00C6667B"/>
    <w:rsid w:val="00C66FB1"/>
    <w:rsid w:val="00C66FB7"/>
    <w:rsid w:val="00C70C1C"/>
    <w:rsid w:val="00C70E41"/>
    <w:rsid w:val="00C74D25"/>
    <w:rsid w:val="00C7567A"/>
    <w:rsid w:val="00C7573E"/>
    <w:rsid w:val="00C766CD"/>
    <w:rsid w:val="00C76767"/>
    <w:rsid w:val="00C7742C"/>
    <w:rsid w:val="00C81953"/>
    <w:rsid w:val="00C8388B"/>
    <w:rsid w:val="00C84EFA"/>
    <w:rsid w:val="00C85B68"/>
    <w:rsid w:val="00C865EB"/>
    <w:rsid w:val="00C905CC"/>
    <w:rsid w:val="00C917E9"/>
    <w:rsid w:val="00C92791"/>
    <w:rsid w:val="00C92BEF"/>
    <w:rsid w:val="00C93F39"/>
    <w:rsid w:val="00C97590"/>
    <w:rsid w:val="00C97B23"/>
    <w:rsid w:val="00C97EE7"/>
    <w:rsid w:val="00CA114B"/>
    <w:rsid w:val="00CA23A4"/>
    <w:rsid w:val="00CA250A"/>
    <w:rsid w:val="00CA2CE6"/>
    <w:rsid w:val="00CA481F"/>
    <w:rsid w:val="00CA4927"/>
    <w:rsid w:val="00CA4A54"/>
    <w:rsid w:val="00CA5530"/>
    <w:rsid w:val="00CA57E1"/>
    <w:rsid w:val="00CA5DE8"/>
    <w:rsid w:val="00CA5EBA"/>
    <w:rsid w:val="00CA7456"/>
    <w:rsid w:val="00CB208D"/>
    <w:rsid w:val="00CB31BC"/>
    <w:rsid w:val="00CB3395"/>
    <w:rsid w:val="00CB5D91"/>
    <w:rsid w:val="00CB7CAE"/>
    <w:rsid w:val="00CC05E5"/>
    <w:rsid w:val="00CC12DE"/>
    <w:rsid w:val="00CC3AC7"/>
    <w:rsid w:val="00CC3D32"/>
    <w:rsid w:val="00CC4F84"/>
    <w:rsid w:val="00CC5E01"/>
    <w:rsid w:val="00CC5E20"/>
    <w:rsid w:val="00CD01DB"/>
    <w:rsid w:val="00CD0865"/>
    <w:rsid w:val="00CD1807"/>
    <w:rsid w:val="00CD1B84"/>
    <w:rsid w:val="00CD26D7"/>
    <w:rsid w:val="00CD39A3"/>
    <w:rsid w:val="00CD4161"/>
    <w:rsid w:val="00CD4BAA"/>
    <w:rsid w:val="00CD5094"/>
    <w:rsid w:val="00CD5504"/>
    <w:rsid w:val="00CD7D78"/>
    <w:rsid w:val="00CE0A71"/>
    <w:rsid w:val="00CE27F7"/>
    <w:rsid w:val="00CE2BC1"/>
    <w:rsid w:val="00CE2EBF"/>
    <w:rsid w:val="00CE4076"/>
    <w:rsid w:val="00CE45B7"/>
    <w:rsid w:val="00CE4B7B"/>
    <w:rsid w:val="00CE53A5"/>
    <w:rsid w:val="00CF07E4"/>
    <w:rsid w:val="00CF0D29"/>
    <w:rsid w:val="00CF15BD"/>
    <w:rsid w:val="00CF1AFA"/>
    <w:rsid w:val="00CF1B17"/>
    <w:rsid w:val="00CF2D94"/>
    <w:rsid w:val="00CF31B5"/>
    <w:rsid w:val="00CF6D3D"/>
    <w:rsid w:val="00CF7F3F"/>
    <w:rsid w:val="00D005C9"/>
    <w:rsid w:val="00D00BEE"/>
    <w:rsid w:val="00D02C2B"/>
    <w:rsid w:val="00D030C0"/>
    <w:rsid w:val="00D03503"/>
    <w:rsid w:val="00D03A21"/>
    <w:rsid w:val="00D06C89"/>
    <w:rsid w:val="00D06D04"/>
    <w:rsid w:val="00D11673"/>
    <w:rsid w:val="00D122D6"/>
    <w:rsid w:val="00D12686"/>
    <w:rsid w:val="00D1328F"/>
    <w:rsid w:val="00D13416"/>
    <w:rsid w:val="00D15806"/>
    <w:rsid w:val="00D171FF"/>
    <w:rsid w:val="00D1746D"/>
    <w:rsid w:val="00D1756F"/>
    <w:rsid w:val="00D17B2F"/>
    <w:rsid w:val="00D17E06"/>
    <w:rsid w:val="00D17ED4"/>
    <w:rsid w:val="00D20B8C"/>
    <w:rsid w:val="00D21C1F"/>
    <w:rsid w:val="00D24240"/>
    <w:rsid w:val="00D2450F"/>
    <w:rsid w:val="00D259F3"/>
    <w:rsid w:val="00D25DD0"/>
    <w:rsid w:val="00D25FC3"/>
    <w:rsid w:val="00D260FB"/>
    <w:rsid w:val="00D2661B"/>
    <w:rsid w:val="00D273DD"/>
    <w:rsid w:val="00D30151"/>
    <w:rsid w:val="00D30A41"/>
    <w:rsid w:val="00D3123A"/>
    <w:rsid w:val="00D33254"/>
    <w:rsid w:val="00D33A4D"/>
    <w:rsid w:val="00D34A38"/>
    <w:rsid w:val="00D36528"/>
    <w:rsid w:val="00D377E6"/>
    <w:rsid w:val="00D43352"/>
    <w:rsid w:val="00D44654"/>
    <w:rsid w:val="00D45257"/>
    <w:rsid w:val="00D45498"/>
    <w:rsid w:val="00D45FD1"/>
    <w:rsid w:val="00D473C6"/>
    <w:rsid w:val="00D5031D"/>
    <w:rsid w:val="00D504D7"/>
    <w:rsid w:val="00D51FEF"/>
    <w:rsid w:val="00D53DF0"/>
    <w:rsid w:val="00D53E86"/>
    <w:rsid w:val="00D568B5"/>
    <w:rsid w:val="00D60329"/>
    <w:rsid w:val="00D604C5"/>
    <w:rsid w:val="00D613CD"/>
    <w:rsid w:val="00D63376"/>
    <w:rsid w:val="00D64A5F"/>
    <w:rsid w:val="00D65321"/>
    <w:rsid w:val="00D65FD7"/>
    <w:rsid w:val="00D66FBF"/>
    <w:rsid w:val="00D72449"/>
    <w:rsid w:val="00D75037"/>
    <w:rsid w:val="00D75219"/>
    <w:rsid w:val="00D7571B"/>
    <w:rsid w:val="00D7765E"/>
    <w:rsid w:val="00D80350"/>
    <w:rsid w:val="00D811EA"/>
    <w:rsid w:val="00D816A9"/>
    <w:rsid w:val="00D8204E"/>
    <w:rsid w:val="00D82F1E"/>
    <w:rsid w:val="00D83E69"/>
    <w:rsid w:val="00D86F75"/>
    <w:rsid w:val="00D87AD4"/>
    <w:rsid w:val="00D90EB0"/>
    <w:rsid w:val="00D929DE"/>
    <w:rsid w:val="00D92A09"/>
    <w:rsid w:val="00D92F72"/>
    <w:rsid w:val="00D9470A"/>
    <w:rsid w:val="00D94C1E"/>
    <w:rsid w:val="00D9521D"/>
    <w:rsid w:val="00D952FF"/>
    <w:rsid w:val="00D95C1A"/>
    <w:rsid w:val="00D95F24"/>
    <w:rsid w:val="00DA04AD"/>
    <w:rsid w:val="00DA0C8C"/>
    <w:rsid w:val="00DA116E"/>
    <w:rsid w:val="00DA16C2"/>
    <w:rsid w:val="00DA20E9"/>
    <w:rsid w:val="00DA37DB"/>
    <w:rsid w:val="00DA3D61"/>
    <w:rsid w:val="00DA3FBA"/>
    <w:rsid w:val="00DA42B2"/>
    <w:rsid w:val="00DA54EE"/>
    <w:rsid w:val="00DA5F62"/>
    <w:rsid w:val="00DA6D52"/>
    <w:rsid w:val="00DB03FA"/>
    <w:rsid w:val="00DB0F04"/>
    <w:rsid w:val="00DB265E"/>
    <w:rsid w:val="00DB2903"/>
    <w:rsid w:val="00DB3AA4"/>
    <w:rsid w:val="00DB3EBA"/>
    <w:rsid w:val="00DB44C7"/>
    <w:rsid w:val="00DB5386"/>
    <w:rsid w:val="00DB577F"/>
    <w:rsid w:val="00DB7314"/>
    <w:rsid w:val="00DB7FEF"/>
    <w:rsid w:val="00DC00CF"/>
    <w:rsid w:val="00DC0BF9"/>
    <w:rsid w:val="00DC0D3A"/>
    <w:rsid w:val="00DC19EF"/>
    <w:rsid w:val="00DC376C"/>
    <w:rsid w:val="00DC4B2A"/>
    <w:rsid w:val="00DC52EE"/>
    <w:rsid w:val="00DC60E3"/>
    <w:rsid w:val="00DC6727"/>
    <w:rsid w:val="00DC682C"/>
    <w:rsid w:val="00DC7DED"/>
    <w:rsid w:val="00DD0B3D"/>
    <w:rsid w:val="00DD176F"/>
    <w:rsid w:val="00DD1CAF"/>
    <w:rsid w:val="00DD2DF1"/>
    <w:rsid w:val="00DD3187"/>
    <w:rsid w:val="00DD38E0"/>
    <w:rsid w:val="00DD3B1C"/>
    <w:rsid w:val="00DD4A75"/>
    <w:rsid w:val="00DD5BA9"/>
    <w:rsid w:val="00DD6290"/>
    <w:rsid w:val="00DD63CB"/>
    <w:rsid w:val="00DD6534"/>
    <w:rsid w:val="00DE069B"/>
    <w:rsid w:val="00DE23B1"/>
    <w:rsid w:val="00DE3F9B"/>
    <w:rsid w:val="00DE5838"/>
    <w:rsid w:val="00DE5A5E"/>
    <w:rsid w:val="00DE7D45"/>
    <w:rsid w:val="00DF1B88"/>
    <w:rsid w:val="00DF2002"/>
    <w:rsid w:val="00DF2AF7"/>
    <w:rsid w:val="00DF2E17"/>
    <w:rsid w:val="00DF51D3"/>
    <w:rsid w:val="00DF5319"/>
    <w:rsid w:val="00DF7C98"/>
    <w:rsid w:val="00DF7E30"/>
    <w:rsid w:val="00E00A33"/>
    <w:rsid w:val="00E00A54"/>
    <w:rsid w:val="00E00B78"/>
    <w:rsid w:val="00E0208A"/>
    <w:rsid w:val="00E03DA8"/>
    <w:rsid w:val="00E04852"/>
    <w:rsid w:val="00E04FC5"/>
    <w:rsid w:val="00E05D2F"/>
    <w:rsid w:val="00E06234"/>
    <w:rsid w:val="00E069B8"/>
    <w:rsid w:val="00E10DC1"/>
    <w:rsid w:val="00E113EE"/>
    <w:rsid w:val="00E122F7"/>
    <w:rsid w:val="00E13A52"/>
    <w:rsid w:val="00E1434E"/>
    <w:rsid w:val="00E14FA8"/>
    <w:rsid w:val="00E16261"/>
    <w:rsid w:val="00E16D9A"/>
    <w:rsid w:val="00E16F57"/>
    <w:rsid w:val="00E17B4B"/>
    <w:rsid w:val="00E20CD9"/>
    <w:rsid w:val="00E22D5C"/>
    <w:rsid w:val="00E23CE5"/>
    <w:rsid w:val="00E257AD"/>
    <w:rsid w:val="00E25A98"/>
    <w:rsid w:val="00E269B1"/>
    <w:rsid w:val="00E26CB9"/>
    <w:rsid w:val="00E27A3B"/>
    <w:rsid w:val="00E3097C"/>
    <w:rsid w:val="00E309D8"/>
    <w:rsid w:val="00E31DF2"/>
    <w:rsid w:val="00E33943"/>
    <w:rsid w:val="00E34565"/>
    <w:rsid w:val="00E34B83"/>
    <w:rsid w:val="00E34C3C"/>
    <w:rsid w:val="00E35164"/>
    <w:rsid w:val="00E37811"/>
    <w:rsid w:val="00E403AF"/>
    <w:rsid w:val="00E40BDF"/>
    <w:rsid w:val="00E41730"/>
    <w:rsid w:val="00E41961"/>
    <w:rsid w:val="00E41C58"/>
    <w:rsid w:val="00E42E86"/>
    <w:rsid w:val="00E43186"/>
    <w:rsid w:val="00E44927"/>
    <w:rsid w:val="00E46C03"/>
    <w:rsid w:val="00E522CA"/>
    <w:rsid w:val="00E525E5"/>
    <w:rsid w:val="00E540B1"/>
    <w:rsid w:val="00E55A11"/>
    <w:rsid w:val="00E56047"/>
    <w:rsid w:val="00E564BB"/>
    <w:rsid w:val="00E570C9"/>
    <w:rsid w:val="00E57214"/>
    <w:rsid w:val="00E57E80"/>
    <w:rsid w:val="00E6175B"/>
    <w:rsid w:val="00E62A2F"/>
    <w:rsid w:val="00E63466"/>
    <w:rsid w:val="00E6391C"/>
    <w:rsid w:val="00E639D6"/>
    <w:rsid w:val="00E65F75"/>
    <w:rsid w:val="00E66C59"/>
    <w:rsid w:val="00E72FE2"/>
    <w:rsid w:val="00E738B3"/>
    <w:rsid w:val="00E74174"/>
    <w:rsid w:val="00E7537F"/>
    <w:rsid w:val="00E75920"/>
    <w:rsid w:val="00E76471"/>
    <w:rsid w:val="00E768E2"/>
    <w:rsid w:val="00E7728A"/>
    <w:rsid w:val="00E80546"/>
    <w:rsid w:val="00E80A14"/>
    <w:rsid w:val="00E81482"/>
    <w:rsid w:val="00E831FD"/>
    <w:rsid w:val="00E8437C"/>
    <w:rsid w:val="00E84386"/>
    <w:rsid w:val="00E85086"/>
    <w:rsid w:val="00E854B9"/>
    <w:rsid w:val="00E86B0A"/>
    <w:rsid w:val="00E90E3A"/>
    <w:rsid w:val="00E91EBE"/>
    <w:rsid w:val="00E9266A"/>
    <w:rsid w:val="00E93F40"/>
    <w:rsid w:val="00E942AC"/>
    <w:rsid w:val="00E947D1"/>
    <w:rsid w:val="00E959AA"/>
    <w:rsid w:val="00E95C3B"/>
    <w:rsid w:val="00EA0157"/>
    <w:rsid w:val="00EA032C"/>
    <w:rsid w:val="00EA12A2"/>
    <w:rsid w:val="00EA174F"/>
    <w:rsid w:val="00EA2FC2"/>
    <w:rsid w:val="00EA3612"/>
    <w:rsid w:val="00EA5A98"/>
    <w:rsid w:val="00EA6378"/>
    <w:rsid w:val="00EA717A"/>
    <w:rsid w:val="00EB1CC1"/>
    <w:rsid w:val="00EB220B"/>
    <w:rsid w:val="00EB2B53"/>
    <w:rsid w:val="00EB320C"/>
    <w:rsid w:val="00EB3A9E"/>
    <w:rsid w:val="00EB47DB"/>
    <w:rsid w:val="00EB5793"/>
    <w:rsid w:val="00EB5C78"/>
    <w:rsid w:val="00EB616B"/>
    <w:rsid w:val="00EB61FD"/>
    <w:rsid w:val="00EB70CE"/>
    <w:rsid w:val="00EB77ED"/>
    <w:rsid w:val="00EB7FF6"/>
    <w:rsid w:val="00EC0CF1"/>
    <w:rsid w:val="00EC127E"/>
    <w:rsid w:val="00EC1660"/>
    <w:rsid w:val="00EC1784"/>
    <w:rsid w:val="00EC2256"/>
    <w:rsid w:val="00EC384C"/>
    <w:rsid w:val="00EC3D77"/>
    <w:rsid w:val="00EC5CB4"/>
    <w:rsid w:val="00EC660E"/>
    <w:rsid w:val="00EC6D38"/>
    <w:rsid w:val="00EC72E0"/>
    <w:rsid w:val="00EC73AB"/>
    <w:rsid w:val="00EC790F"/>
    <w:rsid w:val="00EC7BAF"/>
    <w:rsid w:val="00ED0B22"/>
    <w:rsid w:val="00ED1103"/>
    <w:rsid w:val="00ED1A85"/>
    <w:rsid w:val="00ED1BCE"/>
    <w:rsid w:val="00ED374A"/>
    <w:rsid w:val="00ED3B73"/>
    <w:rsid w:val="00ED3CFA"/>
    <w:rsid w:val="00ED4285"/>
    <w:rsid w:val="00ED440F"/>
    <w:rsid w:val="00ED4A07"/>
    <w:rsid w:val="00ED5F41"/>
    <w:rsid w:val="00ED64E9"/>
    <w:rsid w:val="00ED6E5C"/>
    <w:rsid w:val="00ED7CC7"/>
    <w:rsid w:val="00EE19F9"/>
    <w:rsid w:val="00EE2F75"/>
    <w:rsid w:val="00EE412D"/>
    <w:rsid w:val="00EE4C82"/>
    <w:rsid w:val="00EE5634"/>
    <w:rsid w:val="00EE5C7C"/>
    <w:rsid w:val="00EE61AA"/>
    <w:rsid w:val="00EE7890"/>
    <w:rsid w:val="00EE7FFD"/>
    <w:rsid w:val="00EF038B"/>
    <w:rsid w:val="00EF293E"/>
    <w:rsid w:val="00EF45F6"/>
    <w:rsid w:val="00EF5709"/>
    <w:rsid w:val="00EF59C2"/>
    <w:rsid w:val="00EF7DBB"/>
    <w:rsid w:val="00F005FA"/>
    <w:rsid w:val="00F01404"/>
    <w:rsid w:val="00F01A13"/>
    <w:rsid w:val="00F01D53"/>
    <w:rsid w:val="00F02D6A"/>
    <w:rsid w:val="00F032D8"/>
    <w:rsid w:val="00F03D08"/>
    <w:rsid w:val="00F06167"/>
    <w:rsid w:val="00F06229"/>
    <w:rsid w:val="00F0650B"/>
    <w:rsid w:val="00F06ABF"/>
    <w:rsid w:val="00F06BC9"/>
    <w:rsid w:val="00F06C89"/>
    <w:rsid w:val="00F07560"/>
    <w:rsid w:val="00F1160D"/>
    <w:rsid w:val="00F11D13"/>
    <w:rsid w:val="00F121A8"/>
    <w:rsid w:val="00F1284A"/>
    <w:rsid w:val="00F12AF8"/>
    <w:rsid w:val="00F13040"/>
    <w:rsid w:val="00F14897"/>
    <w:rsid w:val="00F14E8B"/>
    <w:rsid w:val="00F15356"/>
    <w:rsid w:val="00F15E48"/>
    <w:rsid w:val="00F20ECA"/>
    <w:rsid w:val="00F20ED5"/>
    <w:rsid w:val="00F21565"/>
    <w:rsid w:val="00F21783"/>
    <w:rsid w:val="00F23008"/>
    <w:rsid w:val="00F23F90"/>
    <w:rsid w:val="00F24174"/>
    <w:rsid w:val="00F24188"/>
    <w:rsid w:val="00F24654"/>
    <w:rsid w:val="00F25B16"/>
    <w:rsid w:val="00F273AA"/>
    <w:rsid w:val="00F27ABD"/>
    <w:rsid w:val="00F27ED2"/>
    <w:rsid w:val="00F305D7"/>
    <w:rsid w:val="00F30A88"/>
    <w:rsid w:val="00F31366"/>
    <w:rsid w:val="00F31463"/>
    <w:rsid w:val="00F31CC4"/>
    <w:rsid w:val="00F322B8"/>
    <w:rsid w:val="00F3292A"/>
    <w:rsid w:val="00F3329E"/>
    <w:rsid w:val="00F35595"/>
    <w:rsid w:val="00F35FCF"/>
    <w:rsid w:val="00F361C1"/>
    <w:rsid w:val="00F361CF"/>
    <w:rsid w:val="00F37467"/>
    <w:rsid w:val="00F37AAE"/>
    <w:rsid w:val="00F4268E"/>
    <w:rsid w:val="00F42F9C"/>
    <w:rsid w:val="00F44011"/>
    <w:rsid w:val="00F4556E"/>
    <w:rsid w:val="00F50146"/>
    <w:rsid w:val="00F5116C"/>
    <w:rsid w:val="00F51785"/>
    <w:rsid w:val="00F51C7C"/>
    <w:rsid w:val="00F52592"/>
    <w:rsid w:val="00F53377"/>
    <w:rsid w:val="00F53DE8"/>
    <w:rsid w:val="00F56135"/>
    <w:rsid w:val="00F565B5"/>
    <w:rsid w:val="00F5684C"/>
    <w:rsid w:val="00F568C7"/>
    <w:rsid w:val="00F571F1"/>
    <w:rsid w:val="00F5749A"/>
    <w:rsid w:val="00F57A58"/>
    <w:rsid w:val="00F60A6E"/>
    <w:rsid w:val="00F635AD"/>
    <w:rsid w:val="00F6520A"/>
    <w:rsid w:val="00F653D9"/>
    <w:rsid w:val="00F656D3"/>
    <w:rsid w:val="00F65DFD"/>
    <w:rsid w:val="00F6638B"/>
    <w:rsid w:val="00F67450"/>
    <w:rsid w:val="00F70B0D"/>
    <w:rsid w:val="00F72FFE"/>
    <w:rsid w:val="00F73126"/>
    <w:rsid w:val="00F74C82"/>
    <w:rsid w:val="00F77A6A"/>
    <w:rsid w:val="00F77BB1"/>
    <w:rsid w:val="00F805AD"/>
    <w:rsid w:val="00F807CE"/>
    <w:rsid w:val="00F81C13"/>
    <w:rsid w:val="00F82457"/>
    <w:rsid w:val="00F82897"/>
    <w:rsid w:val="00F83C62"/>
    <w:rsid w:val="00F86318"/>
    <w:rsid w:val="00F87246"/>
    <w:rsid w:val="00F873B7"/>
    <w:rsid w:val="00F87B5B"/>
    <w:rsid w:val="00F90FF2"/>
    <w:rsid w:val="00F9135D"/>
    <w:rsid w:val="00F91A78"/>
    <w:rsid w:val="00F91D69"/>
    <w:rsid w:val="00F92524"/>
    <w:rsid w:val="00F92CF6"/>
    <w:rsid w:val="00F939A2"/>
    <w:rsid w:val="00F93F73"/>
    <w:rsid w:val="00F941BA"/>
    <w:rsid w:val="00F952D1"/>
    <w:rsid w:val="00F9601C"/>
    <w:rsid w:val="00F96A7A"/>
    <w:rsid w:val="00F96F3A"/>
    <w:rsid w:val="00F9705B"/>
    <w:rsid w:val="00F97CFC"/>
    <w:rsid w:val="00FA288A"/>
    <w:rsid w:val="00FA2964"/>
    <w:rsid w:val="00FA303C"/>
    <w:rsid w:val="00FA5D11"/>
    <w:rsid w:val="00FA67DF"/>
    <w:rsid w:val="00FA72F9"/>
    <w:rsid w:val="00FA7402"/>
    <w:rsid w:val="00FB077A"/>
    <w:rsid w:val="00FB0E47"/>
    <w:rsid w:val="00FB1ECA"/>
    <w:rsid w:val="00FB379B"/>
    <w:rsid w:val="00FB4DD6"/>
    <w:rsid w:val="00FB620E"/>
    <w:rsid w:val="00FB639B"/>
    <w:rsid w:val="00FC0E35"/>
    <w:rsid w:val="00FC2364"/>
    <w:rsid w:val="00FC23FC"/>
    <w:rsid w:val="00FC3739"/>
    <w:rsid w:val="00FC3A68"/>
    <w:rsid w:val="00FC5905"/>
    <w:rsid w:val="00FC5DF4"/>
    <w:rsid w:val="00FC7CD3"/>
    <w:rsid w:val="00FD006C"/>
    <w:rsid w:val="00FD0904"/>
    <w:rsid w:val="00FD0DE7"/>
    <w:rsid w:val="00FD14E0"/>
    <w:rsid w:val="00FD1CA1"/>
    <w:rsid w:val="00FD231C"/>
    <w:rsid w:val="00FD2770"/>
    <w:rsid w:val="00FD4819"/>
    <w:rsid w:val="00FD4FC2"/>
    <w:rsid w:val="00FD5191"/>
    <w:rsid w:val="00FD5E1F"/>
    <w:rsid w:val="00FD648E"/>
    <w:rsid w:val="00FE15D2"/>
    <w:rsid w:val="00FE3327"/>
    <w:rsid w:val="00FE39F7"/>
    <w:rsid w:val="00FE46AD"/>
    <w:rsid w:val="00FE4B12"/>
    <w:rsid w:val="00FE4E96"/>
    <w:rsid w:val="00FE54FA"/>
    <w:rsid w:val="00FE6317"/>
    <w:rsid w:val="00FE6A8C"/>
    <w:rsid w:val="00FE6CF6"/>
    <w:rsid w:val="00FE79AA"/>
    <w:rsid w:val="00FF2709"/>
    <w:rsid w:val="00FF2B8F"/>
    <w:rsid w:val="00FF2D6E"/>
    <w:rsid w:val="00FF33F5"/>
    <w:rsid w:val="00FF3889"/>
    <w:rsid w:val="00FF47B9"/>
    <w:rsid w:val="00FF64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E5ED1A"/>
  <w15:docId w15:val="{1193F4F1-A589-4ED9-8155-C552D37B4E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768E2"/>
    <w:pPr>
      <w:spacing w:line="240" w:lineRule="atLeast"/>
    </w:pPr>
    <w:rPr>
      <w:color w:val="000000" w:themeColor="background1"/>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EMCBodyCopy">
    <w:name w:val="AEMC Body Copy"/>
    <w:qFormat/>
    <w:rsid w:val="000C745C"/>
    <w:pPr>
      <w:spacing w:after="100" w:line="240" w:lineRule="atLeast"/>
    </w:pPr>
    <w:rPr>
      <w:color w:val="000000" w:themeColor="background1"/>
      <w:sz w:val="18"/>
    </w:rPr>
  </w:style>
  <w:style w:type="paragraph" w:styleId="Header">
    <w:name w:val="header"/>
    <w:aliases w:val="AEMC Header"/>
    <w:link w:val="HeaderChar"/>
    <w:uiPriority w:val="99"/>
    <w:unhideWhenUsed/>
    <w:rsid w:val="00D260FB"/>
    <w:pPr>
      <w:tabs>
        <w:tab w:val="center" w:pos="4513"/>
        <w:tab w:val="right" w:pos="9026"/>
      </w:tabs>
      <w:spacing w:after="0" w:line="180" w:lineRule="atLeast"/>
    </w:pPr>
    <w:rPr>
      <w:rFonts w:cs="Times New Roman (Body CS)"/>
      <w:color w:val="58595B" w:themeColor="accent4"/>
      <w:sz w:val="14"/>
      <w:szCs w:val="17"/>
    </w:rPr>
  </w:style>
  <w:style w:type="character" w:customStyle="1" w:styleId="HeaderChar">
    <w:name w:val="Header Char"/>
    <w:aliases w:val="AEMC Header Char"/>
    <w:basedOn w:val="DefaultParagraphFont"/>
    <w:link w:val="Header"/>
    <w:uiPriority w:val="99"/>
    <w:rsid w:val="00D260FB"/>
    <w:rPr>
      <w:rFonts w:cs="Times New Roman (Body CS)"/>
      <w:color w:val="58595B" w:themeColor="accent4"/>
      <w:sz w:val="14"/>
      <w:szCs w:val="17"/>
    </w:rPr>
  </w:style>
  <w:style w:type="paragraph" w:styleId="Footer">
    <w:name w:val="footer"/>
    <w:aliases w:val="AEMC Footer"/>
    <w:link w:val="FooterChar"/>
    <w:uiPriority w:val="99"/>
    <w:unhideWhenUsed/>
    <w:rsid w:val="00F65DFD"/>
    <w:pPr>
      <w:tabs>
        <w:tab w:val="center" w:pos="4513"/>
        <w:tab w:val="right" w:pos="9026"/>
      </w:tabs>
      <w:spacing w:after="0" w:line="180" w:lineRule="atLeast"/>
      <w:jc w:val="right"/>
    </w:pPr>
    <w:rPr>
      <w:caps/>
      <w:color w:val="58595B" w:themeColor="accent4"/>
      <w:sz w:val="14"/>
      <w:szCs w:val="14"/>
    </w:rPr>
  </w:style>
  <w:style w:type="character" w:customStyle="1" w:styleId="FooterChar">
    <w:name w:val="Footer Char"/>
    <w:aliases w:val="AEMC Footer Char"/>
    <w:basedOn w:val="DefaultParagraphFont"/>
    <w:link w:val="Footer"/>
    <w:uiPriority w:val="99"/>
    <w:rsid w:val="00F65DFD"/>
    <w:rPr>
      <w:caps/>
      <w:color w:val="58595B" w:themeColor="accent4"/>
      <w:sz w:val="14"/>
      <w:szCs w:val="14"/>
    </w:rPr>
  </w:style>
  <w:style w:type="paragraph" w:customStyle="1" w:styleId="AEMCHeaderL4">
    <w:name w:val="AEMC Header L4"/>
    <w:basedOn w:val="AEMCBodyCopy"/>
    <w:next w:val="AEMCBodyCopy"/>
    <w:qFormat/>
    <w:rsid w:val="004E4060"/>
    <w:pPr>
      <w:spacing w:before="300" w:line="260" w:lineRule="atLeast"/>
    </w:pPr>
    <w:rPr>
      <w:rFonts w:cs="Times New Roman (Body CS)"/>
      <w:caps/>
      <w:color w:val="00A8E5" w:themeColor="accent1"/>
      <w:sz w:val="22"/>
      <w:szCs w:val="24"/>
    </w:rPr>
  </w:style>
  <w:style w:type="paragraph" w:styleId="BalloonText">
    <w:name w:val="Balloon Text"/>
    <w:basedOn w:val="Normal"/>
    <w:link w:val="BalloonTextChar"/>
    <w:uiPriority w:val="99"/>
    <w:semiHidden/>
    <w:unhideWhenUsed/>
    <w:rsid w:val="000D760A"/>
    <w:pPr>
      <w:spacing w:after="0"/>
    </w:pPr>
    <w:rPr>
      <w:rFonts w:ascii="Tahoma" w:hAnsi="Tahoma" w:cs="Tahoma"/>
      <w:sz w:val="16"/>
      <w:szCs w:val="16"/>
    </w:rPr>
  </w:style>
  <w:style w:type="table" w:styleId="TableGrid">
    <w:name w:val="Table Grid"/>
    <w:basedOn w:val="TableNormal"/>
    <w:uiPriority w:val="39"/>
    <w:rsid w:val="00B8756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MCHeaderL2">
    <w:name w:val="AEMC Header L2"/>
    <w:basedOn w:val="AEMCBodyCopy"/>
    <w:next w:val="AEMCBodyCopy"/>
    <w:qFormat/>
    <w:rsid w:val="0015555C"/>
    <w:pPr>
      <w:spacing w:after="300" w:line="420" w:lineRule="exact"/>
    </w:pPr>
    <w:rPr>
      <w:rFonts w:cs="Times New Roman (Body CS)"/>
      <w:caps/>
      <w:color w:val="58595B" w:themeColor="accent4"/>
      <w:sz w:val="36"/>
      <w:szCs w:val="28"/>
    </w:rPr>
  </w:style>
  <w:style w:type="character" w:styleId="PageNumber">
    <w:name w:val="page number"/>
    <w:basedOn w:val="DefaultParagraphFont"/>
    <w:uiPriority w:val="99"/>
    <w:semiHidden/>
    <w:unhideWhenUsed/>
    <w:rsid w:val="00F4268E"/>
  </w:style>
  <w:style w:type="paragraph" w:customStyle="1" w:styleId="AEMCBodyCopyNumberedList02">
    <w:name w:val="AEMC Body Copy Numbered List 02"/>
    <w:basedOn w:val="AEMCBodyCopy"/>
    <w:qFormat/>
    <w:rsid w:val="003332FA"/>
    <w:pPr>
      <w:numPr>
        <w:numId w:val="1"/>
      </w:numPr>
    </w:pPr>
  </w:style>
  <w:style w:type="paragraph" w:customStyle="1" w:styleId="AEMCBodyCopyNumberedList01">
    <w:name w:val="AEMC Body Copy Numbered List 01"/>
    <w:basedOn w:val="AEMCBodyCopy"/>
    <w:qFormat/>
    <w:rsid w:val="003332FA"/>
    <w:pPr>
      <w:numPr>
        <w:numId w:val="2"/>
      </w:numPr>
      <w:contextualSpacing/>
    </w:pPr>
  </w:style>
  <w:style w:type="paragraph" w:customStyle="1" w:styleId="AEMCBodyCopyBold">
    <w:name w:val="AEMC Body Copy Bold"/>
    <w:basedOn w:val="AEMCBodyCopy"/>
    <w:qFormat/>
    <w:rsid w:val="003332FA"/>
    <w:rPr>
      <w:b/>
    </w:rPr>
  </w:style>
  <w:style w:type="paragraph" w:customStyle="1" w:styleId="AEMCTableBodyCopyNumbers">
    <w:name w:val="AEMC Table Body Copy Numbers"/>
    <w:basedOn w:val="AEMCTableBodyCopy"/>
    <w:qFormat/>
    <w:rsid w:val="0015555C"/>
    <w:pPr>
      <w:numPr>
        <w:numId w:val="6"/>
      </w:numPr>
    </w:pPr>
  </w:style>
  <w:style w:type="paragraph" w:customStyle="1" w:styleId="AEMCBodyCopyItalics">
    <w:name w:val="AEMC Body Copy Italics"/>
    <w:basedOn w:val="AEMCBodyCopy"/>
    <w:qFormat/>
    <w:rsid w:val="003332FA"/>
    <w:rPr>
      <w:i/>
    </w:rPr>
  </w:style>
  <w:style w:type="paragraph" w:styleId="NormalWeb">
    <w:name w:val="Normal (Web)"/>
    <w:basedOn w:val="Normal"/>
    <w:uiPriority w:val="99"/>
    <w:semiHidden/>
    <w:unhideWhenUsed/>
    <w:rsid w:val="001F3512"/>
    <w:pPr>
      <w:spacing w:before="100" w:beforeAutospacing="1" w:after="100" w:afterAutospacing="1"/>
    </w:pPr>
    <w:rPr>
      <w:rFonts w:ascii="Times New Roman" w:eastAsiaTheme="minorEastAsia" w:hAnsi="Times New Roman" w:cs="Times New Roman"/>
      <w:sz w:val="24"/>
      <w:szCs w:val="24"/>
      <w:lang w:val="en-US"/>
    </w:rPr>
  </w:style>
  <w:style w:type="character" w:styleId="Hyperlink">
    <w:name w:val="Hyperlink"/>
    <w:aliases w:val="AEMC Hyperlink"/>
    <w:uiPriority w:val="99"/>
    <w:unhideWhenUsed/>
    <w:rsid w:val="00E768E2"/>
  </w:style>
  <w:style w:type="character" w:customStyle="1" w:styleId="BalloonTextChar">
    <w:name w:val="Balloon Text Char"/>
    <w:basedOn w:val="DefaultParagraphFont"/>
    <w:link w:val="BalloonText"/>
    <w:uiPriority w:val="99"/>
    <w:semiHidden/>
    <w:rsid w:val="000D760A"/>
    <w:rPr>
      <w:rFonts w:ascii="Tahoma" w:hAnsi="Tahoma" w:cs="Tahoma"/>
      <w:sz w:val="16"/>
      <w:szCs w:val="16"/>
    </w:rPr>
  </w:style>
  <w:style w:type="character" w:styleId="CommentReference">
    <w:name w:val="annotation reference"/>
    <w:basedOn w:val="DefaultParagraphFont"/>
    <w:uiPriority w:val="99"/>
    <w:semiHidden/>
    <w:unhideWhenUsed/>
    <w:rsid w:val="00EB5C78"/>
    <w:rPr>
      <w:sz w:val="16"/>
      <w:szCs w:val="16"/>
    </w:rPr>
  </w:style>
  <w:style w:type="paragraph" w:styleId="CommentText">
    <w:name w:val="annotation text"/>
    <w:basedOn w:val="Normal"/>
    <w:link w:val="CommentTextChar"/>
    <w:uiPriority w:val="99"/>
    <w:semiHidden/>
    <w:unhideWhenUsed/>
    <w:rsid w:val="00EB5C78"/>
    <w:rPr>
      <w:sz w:val="20"/>
      <w:szCs w:val="20"/>
    </w:rPr>
  </w:style>
  <w:style w:type="character" w:customStyle="1" w:styleId="CommentTextChar">
    <w:name w:val="Comment Text Char"/>
    <w:basedOn w:val="DefaultParagraphFont"/>
    <w:link w:val="CommentText"/>
    <w:uiPriority w:val="99"/>
    <w:semiHidden/>
    <w:rsid w:val="00EB5C78"/>
    <w:rPr>
      <w:sz w:val="20"/>
      <w:szCs w:val="20"/>
    </w:rPr>
  </w:style>
  <w:style w:type="paragraph" w:styleId="CommentSubject">
    <w:name w:val="annotation subject"/>
    <w:basedOn w:val="CommentText"/>
    <w:next w:val="CommentText"/>
    <w:link w:val="CommentSubjectChar"/>
    <w:uiPriority w:val="99"/>
    <w:semiHidden/>
    <w:unhideWhenUsed/>
    <w:rsid w:val="00D816A9"/>
    <w:rPr>
      <w:b/>
      <w:bCs/>
    </w:rPr>
  </w:style>
  <w:style w:type="character" w:customStyle="1" w:styleId="CommentSubjectChar">
    <w:name w:val="Comment Subject Char"/>
    <w:basedOn w:val="CommentTextChar"/>
    <w:link w:val="CommentSubject"/>
    <w:uiPriority w:val="99"/>
    <w:semiHidden/>
    <w:rsid w:val="00D816A9"/>
    <w:rPr>
      <w:b/>
      <w:bCs/>
      <w:sz w:val="20"/>
      <w:szCs w:val="20"/>
    </w:rPr>
  </w:style>
  <w:style w:type="paragraph" w:styleId="BodyText">
    <w:name w:val="Body Text"/>
    <w:basedOn w:val="Normal"/>
    <w:link w:val="BodyTextChar"/>
    <w:uiPriority w:val="99"/>
    <w:semiHidden/>
    <w:unhideWhenUsed/>
    <w:rsid w:val="00403830"/>
  </w:style>
  <w:style w:type="character" w:customStyle="1" w:styleId="BodyTextChar">
    <w:name w:val="Body Text Char"/>
    <w:basedOn w:val="DefaultParagraphFont"/>
    <w:link w:val="BodyText"/>
    <w:uiPriority w:val="99"/>
    <w:semiHidden/>
    <w:rsid w:val="00403830"/>
    <w:rPr>
      <w:sz w:val="17"/>
    </w:rPr>
  </w:style>
  <w:style w:type="paragraph" w:styleId="Revision">
    <w:name w:val="Revision"/>
    <w:hidden/>
    <w:uiPriority w:val="99"/>
    <w:semiHidden/>
    <w:rsid w:val="00E05D2F"/>
    <w:pPr>
      <w:spacing w:after="0" w:line="240" w:lineRule="auto"/>
    </w:pPr>
    <w:rPr>
      <w:sz w:val="17"/>
    </w:rPr>
  </w:style>
  <w:style w:type="table" w:customStyle="1" w:styleId="GridTable4-Accent31">
    <w:name w:val="Grid Table 4 - Accent 31"/>
    <w:basedOn w:val="TableNormal"/>
    <w:uiPriority w:val="49"/>
    <w:rsid w:val="0098086A"/>
    <w:pPr>
      <w:spacing w:after="0" w:line="240" w:lineRule="auto"/>
    </w:pPr>
    <w:tblPr>
      <w:tblStyleRowBandSize w:val="1"/>
      <w:tblStyleColBandSize w:val="1"/>
      <w:tblBorders>
        <w:top w:val="single" w:sz="4" w:space="0" w:color="D8F1FA" w:themeColor="accent3" w:themeTint="99"/>
        <w:left w:val="single" w:sz="4" w:space="0" w:color="D8F1FA" w:themeColor="accent3" w:themeTint="99"/>
        <w:bottom w:val="single" w:sz="4" w:space="0" w:color="D8F1FA" w:themeColor="accent3" w:themeTint="99"/>
        <w:right w:val="single" w:sz="4" w:space="0" w:color="D8F1FA" w:themeColor="accent3" w:themeTint="99"/>
        <w:insideH w:val="single" w:sz="4" w:space="0" w:color="D8F1FA" w:themeColor="accent3" w:themeTint="99"/>
        <w:insideV w:val="single" w:sz="4" w:space="0" w:color="D8F1FA" w:themeColor="accent3" w:themeTint="99"/>
      </w:tblBorders>
    </w:tblPr>
    <w:tblStylePr w:type="firstRow">
      <w:rPr>
        <w:b/>
        <w:bCs/>
        <w:color w:val="000000" w:themeColor="background1"/>
      </w:rPr>
      <w:tblPr/>
      <w:tcPr>
        <w:tcBorders>
          <w:top w:val="single" w:sz="4" w:space="0" w:color="BFE9F8" w:themeColor="accent3"/>
          <w:left w:val="single" w:sz="4" w:space="0" w:color="BFE9F8" w:themeColor="accent3"/>
          <w:bottom w:val="single" w:sz="4" w:space="0" w:color="BFE9F8" w:themeColor="accent3"/>
          <w:right w:val="single" w:sz="4" w:space="0" w:color="BFE9F8" w:themeColor="accent3"/>
          <w:insideH w:val="nil"/>
          <w:insideV w:val="nil"/>
        </w:tcBorders>
        <w:shd w:val="clear" w:color="auto" w:fill="BFE9F8" w:themeFill="accent3"/>
      </w:tcPr>
    </w:tblStylePr>
    <w:tblStylePr w:type="lastRow">
      <w:rPr>
        <w:b/>
        <w:bCs/>
      </w:rPr>
      <w:tblPr/>
      <w:tcPr>
        <w:tcBorders>
          <w:top w:val="double" w:sz="4" w:space="0" w:color="BFE9F8" w:themeColor="accent3"/>
        </w:tcBorders>
      </w:tcPr>
    </w:tblStylePr>
    <w:tblStylePr w:type="firstCol">
      <w:rPr>
        <w:b/>
        <w:bCs/>
      </w:rPr>
    </w:tblStylePr>
    <w:tblStylePr w:type="lastCol">
      <w:rPr>
        <w:b/>
        <w:bCs/>
      </w:rPr>
    </w:tblStylePr>
    <w:tblStylePr w:type="band1Vert">
      <w:tblPr/>
      <w:tcPr>
        <w:shd w:val="clear" w:color="auto" w:fill="F2FAFD" w:themeFill="accent3" w:themeFillTint="33"/>
      </w:tcPr>
    </w:tblStylePr>
    <w:tblStylePr w:type="band1Horz">
      <w:tblPr/>
      <w:tcPr>
        <w:shd w:val="clear" w:color="auto" w:fill="F2FAFD" w:themeFill="accent3" w:themeFillTint="33"/>
      </w:tcPr>
    </w:tblStylePr>
  </w:style>
  <w:style w:type="table" w:customStyle="1" w:styleId="GridTable4-Accent61">
    <w:name w:val="Grid Table 4 - Accent 61"/>
    <w:basedOn w:val="TableNormal"/>
    <w:uiPriority w:val="49"/>
    <w:rsid w:val="0098086A"/>
    <w:pPr>
      <w:spacing w:after="0" w:line="240" w:lineRule="auto"/>
    </w:pPr>
    <w:tblPr>
      <w:tblStyleRowBandSize w:val="1"/>
      <w:tblStyleColBandSize w:val="1"/>
      <w:tblBorders>
        <w:top w:val="single" w:sz="4" w:space="0" w:color="E5E6E6" w:themeColor="accent6" w:themeTint="99"/>
        <w:left w:val="single" w:sz="4" w:space="0" w:color="E5E6E6" w:themeColor="accent6" w:themeTint="99"/>
        <w:bottom w:val="single" w:sz="4" w:space="0" w:color="E5E6E6" w:themeColor="accent6" w:themeTint="99"/>
        <w:right w:val="single" w:sz="4" w:space="0" w:color="E5E6E6" w:themeColor="accent6" w:themeTint="99"/>
        <w:insideH w:val="single" w:sz="4" w:space="0" w:color="E5E6E6" w:themeColor="accent6" w:themeTint="99"/>
        <w:insideV w:val="single" w:sz="4" w:space="0" w:color="E5E6E6" w:themeColor="accent6" w:themeTint="99"/>
      </w:tblBorders>
    </w:tblPr>
    <w:tblStylePr w:type="firstRow">
      <w:rPr>
        <w:b/>
        <w:bCs/>
        <w:color w:val="000000" w:themeColor="background1"/>
      </w:rPr>
      <w:tblPr/>
      <w:tcPr>
        <w:tcBorders>
          <w:top w:val="single" w:sz="4" w:space="0" w:color="D5D6D6" w:themeColor="accent6"/>
          <w:left w:val="single" w:sz="4" w:space="0" w:color="D5D6D6" w:themeColor="accent6"/>
          <w:bottom w:val="single" w:sz="4" w:space="0" w:color="D5D6D6" w:themeColor="accent6"/>
          <w:right w:val="single" w:sz="4" w:space="0" w:color="D5D6D6" w:themeColor="accent6"/>
          <w:insideH w:val="nil"/>
          <w:insideV w:val="nil"/>
        </w:tcBorders>
        <w:shd w:val="clear" w:color="auto" w:fill="D5D6D6" w:themeFill="accent6"/>
      </w:tcPr>
    </w:tblStylePr>
    <w:tblStylePr w:type="lastRow">
      <w:rPr>
        <w:b/>
        <w:bCs/>
      </w:rPr>
      <w:tblPr/>
      <w:tcPr>
        <w:tcBorders>
          <w:top w:val="double" w:sz="4" w:space="0" w:color="D5D6D6" w:themeColor="accent6"/>
        </w:tcBorders>
      </w:tcPr>
    </w:tblStylePr>
    <w:tblStylePr w:type="firstCol">
      <w:rPr>
        <w:b/>
        <w:bCs/>
      </w:rPr>
    </w:tblStylePr>
    <w:tblStylePr w:type="lastCol">
      <w:rPr>
        <w:b/>
        <w:bCs/>
      </w:rPr>
    </w:tblStylePr>
    <w:tblStylePr w:type="band1Vert">
      <w:tblPr/>
      <w:tcPr>
        <w:shd w:val="clear" w:color="auto" w:fill="F6F6F6" w:themeFill="accent6" w:themeFillTint="33"/>
      </w:tcPr>
    </w:tblStylePr>
    <w:tblStylePr w:type="band1Horz">
      <w:tblPr/>
      <w:tcPr>
        <w:shd w:val="clear" w:color="auto" w:fill="F6F6F6" w:themeFill="accent6" w:themeFillTint="33"/>
      </w:tcPr>
    </w:tblStylePr>
  </w:style>
  <w:style w:type="paragraph" w:customStyle="1" w:styleId="AEMCTableSource">
    <w:name w:val="AEMC Table Source"/>
    <w:basedOn w:val="AEMCBodyCopy"/>
    <w:qFormat/>
    <w:rsid w:val="00DB0F04"/>
    <w:pPr>
      <w:spacing w:before="100" w:after="0" w:line="160" w:lineRule="atLeast"/>
    </w:pPr>
    <w:rPr>
      <w:sz w:val="14"/>
      <w:szCs w:val="14"/>
    </w:rPr>
  </w:style>
  <w:style w:type="paragraph" w:customStyle="1" w:styleId="AEMCHEADERL1">
    <w:name w:val="AEMC HEADER L1"/>
    <w:basedOn w:val="Header"/>
    <w:next w:val="AEMCHeaderL2"/>
    <w:qFormat/>
    <w:rsid w:val="00056E2E"/>
    <w:pPr>
      <w:spacing w:line="500" w:lineRule="exact"/>
      <w:ind w:right="794"/>
    </w:pPr>
    <w:rPr>
      <w:b/>
      <w:noProof/>
      <w:color w:val="00A8E5" w:themeColor="accent1"/>
      <w:sz w:val="42"/>
      <w:szCs w:val="34"/>
      <w:lang w:eastAsia="en-GB"/>
    </w:rPr>
  </w:style>
  <w:style w:type="paragraph" w:customStyle="1" w:styleId="AEMCTableNote">
    <w:name w:val="AEMC Table Note"/>
    <w:basedOn w:val="AEMCTableSource"/>
    <w:next w:val="AEMCBodyCopy"/>
    <w:qFormat/>
    <w:rsid w:val="00A85F9E"/>
    <w:pPr>
      <w:spacing w:before="40" w:after="160"/>
    </w:pPr>
  </w:style>
  <w:style w:type="paragraph" w:customStyle="1" w:styleId="AEMCHeaderL3">
    <w:name w:val="AEMC Header L3"/>
    <w:basedOn w:val="AEMCHeaderL4"/>
    <w:qFormat/>
    <w:rsid w:val="004E4060"/>
    <w:pPr>
      <w:spacing w:before="0"/>
    </w:pPr>
    <w:rPr>
      <w:b/>
    </w:rPr>
  </w:style>
  <w:style w:type="paragraph" w:customStyle="1" w:styleId="AEMCTableBodyCopyLetters">
    <w:name w:val="AEMC Table Body Copy Letters"/>
    <w:basedOn w:val="AEMCTableBodyCopy"/>
    <w:qFormat/>
    <w:rsid w:val="0015555C"/>
  </w:style>
  <w:style w:type="paragraph" w:styleId="FootnoteText">
    <w:name w:val="footnote text"/>
    <w:basedOn w:val="Normal"/>
    <w:link w:val="FootnoteTextChar"/>
    <w:uiPriority w:val="99"/>
    <w:semiHidden/>
    <w:unhideWhenUsed/>
    <w:rsid w:val="00720B1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20B19"/>
    <w:rPr>
      <w:color w:val="000000" w:themeColor="background1"/>
      <w:sz w:val="20"/>
      <w:szCs w:val="20"/>
    </w:rPr>
  </w:style>
  <w:style w:type="character" w:styleId="FootnoteReference">
    <w:name w:val="footnote reference"/>
    <w:basedOn w:val="DefaultParagraphFont"/>
    <w:uiPriority w:val="99"/>
    <w:semiHidden/>
    <w:unhideWhenUsed/>
    <w:rsid w:val="00720B19"/>
    <w:rPr>
      <w:vertAlign w:val="superscript"/>
    </w:rPr>
  </w:style>
  <w:style w:type="paragraph" w:customStyle="1" w:styleId="AEMCFootnoteBodyCopy">
    <w:name w:val="AEMC Footnote Body Copy"/>
    <w:basedOn w:val="FootnoteText"/>
    <w:qFormat/>
    <w:rsid w:val="00420D5E"/>
    <w:pPr>
      <w:spacing w:after="20" w:line="160" w:lineRule="exact"/>
      <w:ind w:left="113" w:hanging="113"/>
    </w:pPr>
    <w:rPr>
      <w:sz w:val="14"/>
      <w:szCs w:val="14"/>
    </w:rPr>
  </w:style>
  <w:style w:type="paragraph" w:customStyle="1" w:styleId="AEMCFootnoteBullets">
    <w:name w:val="AEMC Footnote Bullets"/>
    <w:basedOn w:val="AEMCFootnoteBodyCopy"/>
    <w:qFormat/>
    <w:rsid w:val="004D5391"/>
    <w:pPr>
      <w:numPr>
        <w:numId w:val="3"/>
      </w:numPr>
    </w:pPr>
    <w:rPr>
      <w:lang w:val="en-AU"/>
    </w:rPr>
  </w:style>
  <w:style w:type="paragraph" w:customStyle="1" w:styleId="AEMCHeaderL5">
    <w:name w:val="AEMC Header L5"/>
    <w:basedOn w:val="AEMCBodyCopy"/>
    <w:qFormat/>
    <w:rsid w:val="0015555C"/>
    <w:pPr>
      <w:spacing w:before="300"/>
    </w:pPr>
    <w:rPr>
      <w:rFonts w:cs="Times New Roman (Body CS)"/>
      <w:caps/>
      <w:color w:val="58595B" w:themeColor="accent4"/>
    </w:rPr>
  </w:style>
  <w:style w:type="paragraph" w:customStyle="1" w:styleId="AEMCBodyCopyNumberedList03">
    <w:name w:val="AEMC Body Copy Numbered List 03"/>
    <w:basedOn w:val="AEMCBodyCopy"/>
    <w:qFormat/>
    <w:rsid w:val="003332FA"/>
    <w:pPr>
      <w:numPr>
        <w:numId w:val="4"/>
      </w:numPr>
      <w:contextualSpacing/>
    </w:pPr>
  </w:style>
  <w:style w:type="paragraph" w:customStyle="1" w:styleId="AEMCBodyCopyListBullets">
    <w:name w:val="AEMC Body Copy List Bullets"/>
    <w:basedOn w:val="AEMCBodyCopy"/>
    <w:qFormat/>
    <w:rsid w:val="003332FA"/>
    <w:pPr>
      <w:numPr>
        <w:numId w:val="5"/>
      </w:numPr>
      <w:contextualSpacing/>
    </w:pPr>
  </w:style>
  <w:style w:type="paragraph" w:customStyle="1" w:styleId="AEMCTableBodyCopy">
    <w:name w:val="AEMC Table Body Copy"/>
    <w:basedOn w:val="AEMCTableCopySubmitterDetails"/>
    <w:qFormat/>
    <w:rsid w:val="0000465F"/>
    <w:pPr>
      <w:spacing w:before="60" w:after="60" w:line="220" w:lineRule="exact"/>
    </w:pPr>
    <w:rPr>
      <w:sz w:val="18"/>
      <w:szCs w:val="18"/>
    </w:rPr>
  </w:style>
  <w:style w:type="paragraph" w:customStyle="1" w:styleId="AEMCDetailsCopyBold">
    <w:name w:val="AEMC Details Copy Bold"/>
    <w:basedOn w:val="AEMCBodyCopyBold"/>
    <w:next w:val="Normal"/>
    <w:qFormat/>
    <w:rsid w:val="002352FA"/>
    <w:pPr>
      <w:spacing w:after="0"/>
    </w:pPr>
    <w:rPr>
      <w:color w:val="58595B" w:themeColor="accent4"/>
    </w:rPr>
  </w:style>
  <w:style w:type="paragraph" w:customStyle="1" w:styleId="AEMCBodyCopyIntroPara">
    <w:name w:val="AEMC Body Copy (Intro Para)"/>
    <w:basedOn w:val="AEMCBodyCopy"/>
    <w:qFormat/>
    <w:rsid w:val="0015555C"/>
    <w:pPr>
      <w:spacing w:after="400"/>
    </w:pPr>
  </w:style>
  <w:style w:type="paragraph" w:customStyle="1" w:styleId="AEMCTableCopySubmitterDetails">
    <w:name w:val="AEMC Table Copy (Submitter Details)"/>
    <w:basedOn w:val="AEMCBodyCopy"/>
    <w:qFormat/>
    <w:rsid w:val="000C745C"/>
    <w:pPr>
      <w:spacing w:before="100" w:line="240" w:lineRule="exact"/>
    </w:pPr>
    <w:rPr>
      <w:sz w:val="16"/>
      <w:szCs w:val="16"/>
    </w:rPr>
  </w:style>
  <w:style w:type="paragraph" w:customStyle="1" w:styleId="Default">
    <w:name w:val="Default"/>
    <w:rsid w:val="00052A04"/>
    <w:pPr>
      <w:autoSpaceDE w:val="0"/>
      <w:autoSpaceDN w:val="0"/>
      <w:adjustRightInd w:val="0"/>
      <w:spacing w:after="0" w:line="240" w:lineRule="auto"/>
    </w:pPr>
    <w:rPr>
      <w:rFonts w:ascii="BDDKD P+ Tahoma" w:hAnsi="BDDKD P+ Tahoma" w:cs="BDDKD P+ Tahoma"/>
      <w:color w:val="000000"/>
      <w:sz w:val="24"/>
      <w:szCs w:val="24"/>
      <w:lang w:val="en-AU"/>
    </w:rPr>
  </w:style>
  <w:style w:type="paragraph" w:styleId="ListParagraph">
    <w:name w:val="List Paragraph"/>
    <w:basedOn w:val="Normal"/>
    <w:uiPriority w:val="34"/>
    <w:qFormat/>
    <w:rsid w:val="002562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703640">
      <w:bodyDiv w:val="1"/>
      <w:marLeft w:val="0"/>
      <w:marRight w:val="0"/>
      <w:marTop w:val="0"/>
      <w:marBottom w:val="0"/>
      <w:divBdr>
        <w:top w:val="none" w:sz="0" w:space="0" w:color="auto"/>
        <w:left w:val="none" w:sz="0" w:space="0" w:color="auto"/>
        <w:bottom w:val="none" w:sz="0" w:space="0" w:color="auto"/>
        <w:right w:val="none" w:sz="0" w:space="0" w:color="auto"/>
      </w:divBdr>
    </w:div>
    <w:div w:id="431779840">
      <w:bodyDiv w:val="1"/>
      <w:marLeft w:val="0"/>
      <w:marRight w:val="0"/>
      <w:marTop w:val="0"/>
      <w:marBottom w:val="0"/>
      <w:divBdr>
        <w:top w:val="none" w:sz="0" w:space="0" w:color="auto"/>
        <w:left w:val="none" w:sz="0" w:space="0" w:color="auto"/>
        <w:bottom w:val="none" w:sz="0" w:space="0" w:color="auto"/>
        <w:right w:val="none" w:sz="0" w:space="0" w:color="auto"/>
      </w:divBdr>
    </w:div>
    <w:div w:id="598024829">
      <w:bodyDiv w:val="1"/>
      <w:marLeft w:val="0"/>
      <w:marRight w:val="0"/>
      <w:marTop w:val="0"/>
      <w:marBottom w:val="0"/>
      <w:divBdr>
        <w:top w:val="none" w:sz="0" w:space="0" w:color="auto"/>
        <w:left w:val="none" w:sz="0" w:space="0" w:color="auto"/>
        <w:bottom w:val="none" w:sz="0" w:space="0" w:color="auto"/>
        <w:right w:val="none" w:sz="0" w:space="0" w:color="auto"/>
      </w:divBdr>
    </w:div>
    <w:div w:id="1231648777">
      <w:bodyDiv w:val="1"/>
      <w:marLeft w:val="0"/>
      <w:marRight w:val="0"/>
      <w:marTop w:val="0"/>
      <w:marBottom w:val="0"/>
      <w:divBdr>
        <w:top w:val="none" w:sz="0" w:space="0" w:color="auto"/>
        <w:left w:val="none" w:sz="0" w:space="0" w:color="auto"/>
        <w:bottom w:val="none" w:sz="0" w:space="0" w:color="auto"/>
        <w:right w:val="none" w:sz="0" w:space="0" w:color="auto"/>
      </w:divBdr>
    </w:div>
    <w:div w:id="1297761507">
      <w:bodyDiv w:val="1"/>
      <w:marLeft w:val="0"/>
      <w:marRight w:val="0"/>
      <w:marTop w:val="0"/>
      <w:marBottom w:val="0"/>
      <w:divBdr>
        <w:top w:val="none" w:sz="0" w:space="0" w:color="auto"/>
        <w:left w:val="none" w:sz="0" w:space="0" w:color="auto"/>
        <w:bottom w:val="none" w:sz="0" w:space="0" w:color="auto"/>
        <w:right w:val="none" w:sz="0" w:space="0" w:color="auto"/>
      </w:divBdr>
    </w:div>
    <w:div w:id="1337884080">
      <w:bodyDiv w:val="1"/>
      <w:marLeft w:val="0"/>
      <w:marRight w:val="0"/>
      <w:marTop w:val="0"/>
      <w:marBottom w:val="0"/>
      <w:divBdr>
        <w:top w:val="none" w:sz="0" w:space="0" w:color="auto"/>
        <w:left w:val="none" w:sz="0" w:space="0" w:color="auto"/>
        <w:bottom w:val="none" w:sz="0" w:space="0" w:color="auto"/>
        <w:right w:val="none" w:sz="0" w:space="0" w:color="auto"/>
      </w:divBdr>
    </w:div>
    <w:div w:id="1426074081">
      <w:bodyDiv w:val="1"/>
      <w:marLeft w:val="0"/>
      <w:marRight w:val="0"/>
      <w:marTop w:val="0"/>
      <w:marBottom w:val="0"/>
      <w:divBdr>
        <w:top w:val="none" w:sz="0" w:space="0" w:color="auto"/>
        <w:left w:val="none" w:sz="0" w:space="0" w:color="auto"/>
        <w:bottom w:val="none" w:sz="0" w:space="0" w:color="auto"/>
        <w:right w:val="none" w:sz="0" w:space="0" w:color="auto"/>
      </w:divBdr>
    </w:div>
    <w:div w:id="1580603561">
      <w:bodyDiv w:val="1"/>
      <w:marLeft w:val="0"/>
      <w:marRight w:val="0"/>
      <w:marTop w:val="0"/>
      <w:marBottom w:val="0"/>
      <w:divBdr>
        <w:top w:val="none" w:sz="0" w:space="0" w:color="auto"/>
        <w:left w:val="none" w:sz="0" w:space="0" w:color="auto"/>
        <w:bottom w:val="none" w:sz="0" w:space="0" w:color="auto"/>
        <w:right w:val="none" w:sz="0" w:space="0" w:color="auto"/>
      </w:divBdr>
    </w:div>
    <w:div w:id="1695690871">
      <w:bodyDiv w:val="1"/>
      <w:marLeft w:val="0"/>
      <w:marRight w:val="0"/>
      <w:marTop w:val="0"/>
      <w:marBottom w:val="0"/>
      <w:divBdr>
        <w:top w:val="none" w:sz="0" w:space="0" w:color="auto"/>
        <w:left w:val="none" w:sz="0" w:space="0" w:color="auto"/>
        <w:bottom w:val="none" w:sz="0" w:space="0" w:color="auto"/>
        <w:right w:val="none" w:sz="0" w:space="0" w:color="auto"/>
      </w:divBdr>
    </w:div>
    <w:div w:id="1772815535">
      <w:bodyDiv w:val="1"/>
      <w:marLeft w:val="0"/>
      <w:marRight w:val="0"/>
      <w:marTop w:val="0"/>
      <w:marBottom w:val="0"/>
      <w:divBdr>
        <w:top w:val="none" w:sz="0" w:space="0" w:color="auto"/>
        <w:left w:val="none" w:sz="0" w:space="0" w:color="auto"/>
        <w:bottom w:val="none" w:sz="0" w:space="0" w:color="auto"/>
        <w:right w:val="none" w:sz="0" w:space="0" w:color="auto"/>
      </w:divBdr>
    </w:div>
    <w:div w:id="1832988157">
      <w:bodyDiv w:val="1"/>
      <w:marLeft w:val="0"/>
      <w:marRight w:val="0"/>
      <w:marTop w:val="0"/>
      <w:marBottom w:val="0"/>
      <w:divBdr>
        <w:top w:val="none" w:sz="0" w:space="0" w:color="auto"/>
        <w:left w:val="none" w:sz="0" w:space="0" w:color="auto"/>
        <w:bottom w:val="none" w:sz="0" w:space="0" w:color="auto"/>
        <w:right w:val="none" w:sz="0" w:space="0" w:color="auto"/>
      </w:divBdr>
    </w:div>
    <w:div w:id="1893734316">
      <w:bodyDiv w:val="1"/>
      <w:marLeft w:val="0"/>
      <w:marRight w:val="0"/>
      <w:marTop w:val="0"/>
      <w:marBottom w:val="0"/>
      <w:divBdr>
        <w:top w:val="none" w:sz="0" w:space="0" w:color="auto"/>
        <w:left w:val="none" w:sz="0" w:space="0" w:color="auto"/>
        <w:bottom w:val="none" w:sz="0" w:space="0" w:color="auto"/>
        <w:right w:val="none" w:sz="0" w:space="0" w:color="auto"/>
      </w:divBdr>
    </w:div>
    <w:div w:id="1906447766">
      <w:bodyDiv w:val="1"/>
      <w:marLeft w:val="0"/>
      <w:marRight w:val="0"/>
      <w:marTop w:val="0"/>
      <w:marBottom w:val="0"/>
      <w:divBdr>
        <w:top w:val="none" w:sz="0" w:space="0" w:color="auto"/>
        <w:left w:val="none" w:sz="0" w:space="0" w:color="auto"/>
        <w:bottom w:val="none" w:sz="0" w:space="0" w:color="auto"/>
        <w:right w:val="none" w:sz="0" w:space="0" w:color="auto"/>
      </w:divBdr>
    </w:div>
    <w:div w:id="21111960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EMC">
      <a:dk1>
        <a:srgbClr val="FFFFFF"/>
      </a:dk1>
      <a:lt1>
        <a:srgbClr val="000000"/>
      </a:lt1>
      <a:dk2>
        <a:srgbClr val="FFFFFF"/>
      </a:dk2>
      <a:lt2>
        <a:srgbClr val="000000"/>
      </a:lt2>
      <a:accent1>
        <a:srgbClr val="00A8E5"/>
      </a:accent1>
      <a:accent2>
        <a:srgbClr val="7FD3F2"/>
      </a:accent2>
      <a:accent3>
        <a:srgbClr val="BFE9F8"/>
      </a:accent3>
      <a:accent4>
        <a:srgbClr val="58595B"/>
      </a:accent4>
      <a:accent5>
        <a:srgbClr val="ABACAD"/>
      </a:accent5>
      <a:accent6>
        <a:srgbClr val="D5D6D6"/>
      </a:accent6>
      <a:hlink>
        <a:srgbClr val="000000"/>
      </a:hlink>
      <a:folHlink>
        <a:srgbClr val="000000"/>
      </a:folHlink>
    </a:clrScheme>
    <a:fontScheme name="AEMC">
      <a:majorFont>
        <a:latin typeface="Tahoma"/>
        <a:ea typeface=""/>
        <a:cs typeface=""/>
      </a:majorFont>
      <a:minorFont>
        <a:latin typeface="Tahoma"/>
        <a:ea typeface=""/>
        <a:cs typeface=""/>
      </a:minorFont>
    </a:fontScheme>
    <a:fmtScheme name="Subtle Solids">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3"/>
        </a:solidFill>
        <a:ln>
          <a:noFill/>
        </a:ln>
      </a:spPr>
      <a:bodyPr rot="0" spcFirstLastPara="0" vertOverflow="overflow" horzOverflow="overflow" vert="horz" wrap="square" lIns="91440" tIns="180000" rIns="91440" bIns="108000" numCol="1" spcCol="0" rtlCol="0" fromWordArt="0" anchor="t"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ECB27793C152419F369CEEE1F9631C" ma:contentTypeVersion="13" ma:contentTypeDescription="Create a new document." ma:contentTypeScope="" ma:versionID="8af0beaa006ccbd57fd4d7750c36869a">
  <xsd:schema xmlns:xsd="http://www.w3.org/2001/XMLSchema" xmlns:xs="http://www.w3.org/2001/XMLSchema" xmlns:p="http://schemas.microsoft.com/office/2006/metadata/properties" xmlns:ns3="e9bb9fcc-06e3-4326-82c8-81cbd78d5959" xmlns:ns4="98eae497-0221-41db-8b49-b6932d6478de" targetNamespace="http://schemas.microsoft.com/office/2006/metadata/properties" ma:root="true" ma:fieldsID="6d05a56a4072be144558d7e6012cac69" ns3:_="" ns4:_="">
    <xsd:import namespace="e9bb9fcc-06e3-4326-82c8-81cbd78d5959"/>
    <xsd:import namespace="98eae497-0221-41db-8b49-b6932d6478de"/>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bb9fcc-06e3-4326-82c8-81cbd78d59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eae497-0221-41db-8b49-b6932d6478de"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1 6 " ? > < K a p i s h F i l e n a m e T o U r i M a p p i n g s   x m l n s : x s i = " h t t p : / / w w w . w 3 . o r g / 2 0 0 1 / X M L S c h e m a - i n s t a n c e "   x m l n s : x s d = " h t t p : / / w w w . w 3 . o r g / 2 0 0 1 / X M L S c h e m a " / > 
</file>

<file path=customXml/item5.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BF053DC-428F-4C42-ABAA-BAD6378EFE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bb9fcc-06e3-4326-82c8-81cbd78d5959"/>
    <ds:schemaRef ds:uri="98eae497-0221-41db-8b49-b6932d6478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D08848E-12A9-4C16-BF16-8FD85D7EA69B}">
  <ds:schemaRefs>
    <ds:schemaRef ds:uri="http://schemas.microsoft.com/sharepoint/v3/contenttype/forms"/>
  </ds:schemaRefs>
</ds:datastoreItem>
</file>

<file path=customXml/itemProps3.xml><?xml version="1.0" encoding="utf-8"?>
<ds:datastoreItem xmlns:ds="http://schemas.openxmlformats.org/officeDocument/2006/customXml" ds:itemID="{6A500B65-D61C-479D-B857-48F23CB6425E}">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5CB6597-DBF9-4EA5-911F-47AA8E0801B3}">
  <ds:schemaRefs>
    <ds:schemaRef ds:uri="http://www.w3.org/2001/XMLSchema"/>
  </ds:schemaRefs>
</ds:datastoreItem>
</file>

<file path=customXml/itemProps5.xml><?xml version="1.0" encoding="utf-8"?>
<ds:datastoreItem xmlns:ds="http://schemas.openxmlformats.org/officeDocument/2006/customXml" ds:itemID="{9F8FD9D3-A6AA-4690-9429-69112F82FA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9</Pages>
  <Words>1125</Words>
  <Characters>5460</Characters>
  <Application>Microsoft Office Word</Application>
  <DocSecurity>0</DocSecurity>
  <Lines>210</Lines>
  <Paragraphs>129</Paragraphs>
  <ScaleCrop>false</ScaleCrop>
  <HeadingPairs>
    <vt:vector size="2" baseType="variant">
      <vt:variant>
        <vt:lpstr>Title</vt:lpstr>
      </vt:variant>
      <vt:variant>
        <vt:i4>1</vt:i4>
      </vt:variant>
    </vt:vector>
  </HeadingPairs>
  <TitlesOfParts>
    <vt:vector size="1" baseType="lpstr">
      <vt:lpstr>Submissions Template</vt:lpstr>
    </vt:vector>
  </TitlesOfParts>
  <Company>Australian Energy Market Commission</Company>
  <LinksUpToDate>false</LinksUpToDate>
  <CharactersWithSpaces>6456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Submissions Template</dc:title>
  <dc:creator>Daniela Moraes</dc:creator>
  <cp:lastModifiedBy>Mitch Shannon</cp:lastModifiedBy>
  <cp:revision>4</cp:revision>
  <cp:lastPrinted>2016-04-17T05:54:00Z</cp:lastPrinted>
  <dcterms:created xsi:type="dcterms:W3CDTF">2020-05-26T00:39:00Z</dcterms:created>
  <dcterms:modified xsi:type="dcterms:W3CDTF">2020-05-27T03:59:00Z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0x010100ECECB27793C152419F369CEEE1F9631C</vt:lpwstr>
  </property>
</Properties>
</file>