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F0414" w14:textId="28852E74" w:rsidR="00CF2D94" w:rsidRPr="00CF2D94" w:rsidRDefault="00BB07DA" w:rsidP="00627B0D">
      <w:pPr>
        <w:pStyle w:val="AEMCHEADERL1"/>
        <w:outlineLvl w:val="0"/>
      </w:pPr>
      <w:r>
        <w:t xml:space="preserve">Review into extending the regulatory fameworks </w:t>
      </w:r>
      <w:r w:rsidR="00B21022">
        <w:t>to hydrogen and renewable gases</w:t>
      </w:r>
    </w:p>
    <w:p w14:paraId="4CCC4FA7" w14:textId="77777777" w:rsidR="00CF2D94" w:rsidRPr="00F73126" w:rsidRDefault="005E638A" w:rsidP="00627B0D">
      <w:pPr>
        <w:pStyle w:val="AEMCHeaderL2"/>
        <w:outlineLvl w:val="0"/>
        <w:rPr>
          <w:szCs w:val="36"/>
        </w:rPr>
      </w:pPr>
      <w:r>
        <w:t>stakeholder feedback template</w:t>
      </w:r>
    </w:p>
    <w:p w14:paraId="55189215" w14:textId="77777777" w:rsidR="00DD38E0" w:rsidRPr="000B63CE" w:rsidRDefault="008C6A18" w:rsidP="000C745C">
      <w:pPr>
        <w:pStyle w:val="AEMCBodyCopyIntroPara"/>
        <w:rPr>
          <w:rStyle w:val="Hyperlink"/>
          <w:sz w:val="20"/>
          <w:szCs w:val="24"/>
        </w:rPr>
      </w:pPr>
      <w:r w:rsidRPr="000B63CE">
        <w:rPr>
          <w:rStyle w:val="Hyperlink"/>
          <w:sz w:val="20"/>
          <w:szCs w:val="24"/>
        </w:rPr>
        <w:t xml:space="preserve">The template below has been developed to enable stakeholders to provide their feedback on the questions posed in </w:t>
      </w:r>
      <w:r w:rsidR="00C114E7" w:rsidRPr="000B63CE">
        <w:rPr>
          <w:rStyle w:val="Hyperlink"/>
          <w:sz w:val="20"/>
          <w:szCs w:val="24"/>
        </w:rPr>
        <w:t>the consultation</w:t>
      </w:r>
      <w:r w:rsidRPr="000B63CE">
        <w:rPr>
          <w:rStyle w:val="Hyperlink"/>
          <w:sz w:val="20"/>
          <w:szCs w:val="24"/>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2AA9165B" w14:textId="77777777" w:rsidR="008C6A18" w:rsidRPr="004E4060" w:rsidRDefault="008C6A18" w:rsidP="004E4060">
      <w:pPr>
        <w:pStyle w:val="AEMCHeaderL3"/>
        <w:rPr>
          <w:rStyle w:val="Hyperlink"/>
        </w:rPr>
      </w:pPr>
      <w:r w:rsidRPr="004E4060">
        <w:rPr>
          <w:rStyle w:val="Hyperlink"/>
        </w:rPr>
        <w:t>SUBMITTER DETAILS</w:t>
      </w:r>
    </w:p>
    <w:tbl>
      <w:tblPr>
        <w:tblStyle w:val="TableGrid"/>
        <w:tblW w:w="14536"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2862"/>
        <w:gridCol w:w="11674"/>
      </w:tblGrid>
      <w:tr w:rsidR="008C6A18" w:rsidRPr="000B63CE" w14:paraId="600E0DD1" w14:textId="77777777" w:rsidTr="00AC3CEB">
        <w:trPr>
          <w:trHeight w:val="429"/>
        </w:trPr>
        <w:tc>
          <w:tcPr>
            <w:tcW w:w="2862" w:type="dxa"/>
          </w:tcPr>
          <w:p w14:paraId="33CB7C06" w14:textId="77777777" w:rsidR="008C6A18" w:rsidRPr="000B63CE" w:rsidRDefault="000C745C" w:rsidP="000C745C">
            <w:pPr>
              <w:pStyle w:val="AEMCTableCopySubmitterDetails"/>
              <w:rPr>
                <w:rStyle w:val="Hyperlink"/>
                <w:b/>
                <w:sz w:val="20"/>
                <w:szCs w:val="20"/>
              </w:rPr>
            </w:pPr>
            <w:r w:rsidRPr="000B63CE">
              <w:rPr>
                <w:rStyle w:val="Hyperlink"/>
                <w:b/>
                <w:sz w:val="20"/>
                <w:szCs w:val="20"/>
              </w:rPr>
              <w:t>ORGANISATION:</w:t>
            </w:r>
          </w:p>
        </w:tc>
        <w:tc>
          <w:tcPr>
            <w:tcW w:w="11674" w:type="dxa"/>
          </w:tcPr>
          <w:p w14:paraId="2061B94A" w14:textId="1FAC27DD" w:rsidR="008C6A18" w:rsidRPr="000B63CE" w:rsidRDefault="008C6A18" w:rsidP="00785222">
            <w:pPr>
              <w:pStyle w:val="AEMCTableCopySubmitterDetails"/>
              <w:rPr>
                <w:rStyle w:val="Hyperlink"/>
                <w:sz w:val="20"/>
                <w:szCs w:val="20"/>
              </w:rPr>
            </w:pPr>
          </w:p>
        </w:tc>
      </w:tr>
      <w:tr w:rsidR="008C6A18" w:rsidRPr="000B63CE" w14:paraId="6B4F8F87" w14:textId="77777777" w:rsidTr="00AC3CEB">
        <w:trPr>
          <w:trHeight w:val="225"/>
        </w:trPr>
        <w:tc>
          <w:tcPr>
            <w:tcW w:w="2862" w:type="dxa"/>
          </w:tcPr>
          <w:p w14:paraId="16350523" w14:textId="77777777" w:rsidR="008C6A18" w:rsidRPr="000B63CE" w:rsidRDefault="000C745C" w:rsidP="000C745C">
            <w:pPr>
              <w:pStyle w:val="AEMCTableCopySubmitterDetails"/>
              <w:rPr>
                <w:rStyle w:val="Hyperlink"/>
                <w:b/>
                <w:sz w:val="20"/>
                <w:szCs w:val="20"/>
              </w:rPr>
            </w:pPr>
            <w:r w:rsidRPr="000B63CE">
              <w:rPr>
                <w:rStyle w:val="Hyperlink"/>
                <w:b/>
                <w:sz w:val="20"/>
                <w:szCs w:val="20"/>
              </w:rPr>
              <w:t>CONTACT NAME:</w:t>
            </w:r>
          </w:p>
        </w:tc>
        <w:tc>
          <w:tcPr>
            <w:tcW w:w="11674" w:type="dxa"/>
          </w:tcPr>
          <w:p w14:paraId="0B12CD02" w14:textId="2A821BEF" w:rsidR="008C6A18" w:rsidRPr="000B63CE" w:rsidRDefault="008C6A18" w:rsidP="00785222">
            <w:pPr>
              <w:pStyle w:val="AEMCTableCopySubmitterDetails"/>
              <w:rPr>
                <w:rStyle w:val="Hyperlink"/>
                <w:sz w:val="20"/>
                <w:szCs w:val="20"/>
              </w:rPr>
            </w:pPr>
          </w:p>
        </w:tc>
      </w:tr>
      <w:tr w:rsidR="008C6A18" w:rsidRPr="000B63CE" w14:paraId="321C960B" w14:textId="77777777" w:rsidTr="00AC3CEB">
        <w:trPr>
          <w:trHeight w:val="429"/>
        </w:trPr>
        <w:tc>
          <w:tcPr>
            <w:tcW w:w="2862" w:type="dxa"/>
          </w:tcPr>
          <w:p w14:paraId="66422B05" w14:textId="77777777" w:rsidR="008C6A18" w:rsidRPr="000B63CE" w:rsidRDefault="000C745C" w:rsidP="000C745C">
            <w:pPr>
              <w:pStyle w:val="AEMCTableCopySubmitterDetails"/>
              <w:rPr>
                <w:rStyle w:val="Hyperlink"/>
                <w:b/>
                <w:sz w:val="20"/>
                <w:szCs w:val="20"/>
              </w:rPr>
            </w:pPr>
            <w:r w:rsidRPr="000B63CE">
              <w:rPr>
                <w:rStyle w:val="Hyperlink"/>
                <w:b/>
                <w:sz w:val="20"/>
                <w:szCs w:val="20"/>
              </w:rPr>
              <w:t>EMAIL:</w:t>
            </w:r>
          </w:p>
        </w:tc>
        <w:tc>
          <w:tcPr>
            <w:tcW w:w="11674" w:type="dxa"/>
          </w:tcPr>
          <w:p w14:paraId="13795E1F" w14:textId="0CEAD7C3" w:rsidR="008C6A18" w:rsidRPr="000B63CE" w:rsidRDefault="008C6A18" w:rsidP="006C4137">
            <w:pPr>
              <w:pStyle w:val="AEMCTableCopySubmitterDetails"/>
              <w:tabs>
                <w:tab w:val="left" w:pos="989"/>
              </w:tabs>
              <w:rPr>
                <w:rStyle w:val="Hyperlink"/>
                <w:sz w:val="20"/>
                <w:szCs w:val="20"/>
              </w:rPr>
            </w:pPr>
          </w:p>
        </w:tc>
      </w:tr>
      <w:tr w:rsidR="008C6A18" w:rsidRPr="000B63CE" w14:paraId="673BCC5A" w14:textId="77777777" w:rsidTr="00AC3CEB">
        <w:trPr>
          <w:trHeight w:val="416"/>
        </w:trPr>
        <w:tc>
          <w:tcPr>
            <w:tcW w:w="2862" w:type="dxa"/>
          </w:tcPr>
          <w:p w14:paraId="0DB4E21D" w14:textId="77777777" w:rsidR="008C6A18" w:rsidRPr="000B63CE" w:rsidRDefault="000C745C" w:rsidP="000C745C">
            <w:pPr>
              <w:pStyle w:val="AEMCTableCopySubmitterDetails"/>
              <w:rPr>
                <w:rStyle w:val="Hyperlink"/>
                <w:b/>
                <w:sz w:val="20"/>
                <w:szCs w:val="20"/>
              </w:rPr>
            </w:pPr>
            <w:r w:rsidRPr="000B63CE">
              <w:rPr>
                <w:rStyle w:val="Hyperlink"/>
                <w:b/>
                <w:sz w:val="20"/>
                <w:szCs w:val="20"/>
              </w:rPr>
              <w:t>PHONE:</w:t>
            </w:r>
          </w:p>
        </w:tc>
        <w:tc>
          <w:tcPr>
            <w:tcW w:w="11674" w:type="dxa"/>
          </w:tcPr>
          <w:p w14:paraId="6F533C43" w14:textId="28641867" w:rsidR="008C6A18" w:rsidRPr="000B63CE" w:rsidRDefault="008C6A18" w:rsidP="00785222">
            <w:pPr>
              <w:pStyle w:val="AEMCTableCopySubmitterDetails"/>
              <w:rPr>
                <w:rStyle w:val="Hyperlink"/>
                <w:sz w:val="20"/>
                <w:szCs w:val="20"/>
              </w:rPr>
            </w:pPr>
          </w:p>
        </w:tc>
      </w:tr>
      <w:tr w:rsidR="00C114E7" w:rsidRPr="000B63CE" w14:paraId="2041D2C8" w14:textId="77777777" w:rsidTr="00AC3CEB">
        <w:trPr>
          <w:trHeight w:val="429"/>
        </w:trPr>
        <w:tc>
          <w:tcPr>
            <w:tcW w:w="2862" w:type="dxa"/>
          </w:tcPr>
          <w:p w14:paraId="7C1B75D4" w14:textId="77777777" w:rsidR="00C114E7" w:rsidRPr="000B63CE" w:rsidRDefault="00C114E7" w:rsidP="000C745C">
            <w:pPr>
              <w:pStyle w:val="AEMCTableCopySubmitterDetails"/>
              <w:rPr>
                <w:rStyle w:val="Hyperlink"/>
                <w:b/>
                <w:sz w:val="20"/>
                <w:szCs w:val="20"/>
              </w:rPr>
            </w:pPr>
            <w:r w:rsidRPr="000B63CE">
              <w:rPr>
                <w:rStyle w:val="Hyperlink"/>
                <w:b/>
                <w:sz w:val="20"/>
                <w:szCs w:val="20"/>
              </w:rPr>
              <w:t>DATE</w:t>
            </w:r>
          </w:p>
        </w:tc>
        <w:tc>
          <w:tcPr>
            <w:tcW w:w="11674" w:type="dxa"/>
          </w:tcPr>
          <w:p w14:paraId="44843DC0" w14:textId="2308E29D" w:rsidR="00C114E7" w:rsidRPr="000B63CE" w:rsidRDefault="00C114E7" w:rsidP="00785222">
            <w:pPr>
              <w:pStyle w:val="AEMCTableCopySubmitterDetails"/>
              <w:rPr>
                <w:rStyle w:val="Hyperlink"/>
                <w:sz w:val="20"/>
                <w:szCs w:val="20"/>
              </w:rPr>
            </w:pPr>
          </w:p>
        </w:tc>
      </w:tr>
    </w:tbl>
    <w:p w14:paraId="184008F1" w14:textId="77777777" w:rsidR="00C114E7" w:rsidRDefault="00C114E7" w:rsidP="00C114E7">
      <w:pPr>
        <w:pStyle w:val="AEMCHeaderL3"/>
        <w:rPr>
          <w:rStyle w:val="Hyperlink"/>
        </w:rPr>
      </w:pPr>
    </w:p>
    <w:p w14:paraId="6BA3C78F"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14546"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2864"/>
        <w:gridCol w:w="11682"/>
      </w:tblGrid>
      <w:tr w:rsidR="00C114E7" w:rsidRPr="000B63CE" w14:paraId="2D871813" w14:textId="77777777" w:rsidTr="00AC3CEB">
        <w:trPr>
          <w:trHeight w:val="198"/>
        </w:trPr>
        <w:tc>
          <w:tcPr>
            <w:tcW w:w="2864" w:type="dxa"/>
          </w:tcPr>
          <w:p w14:paraId="052BBA21" w14:textId="77777777" w:rsidR="00C114E7" w:rsidRPr="000B63CE" w:rsidRDefault="00C114E7" w:rsidP="001926E2">
            <w:pPr>
              <w:pStyle w:val="AEMCTableCopySubmitterDetails"/>
              <w:rPr>
                <w:rStyle w:val="Hyperlink"/>
                <w:b/>
                <w:sz w:val="20"/>
                <w:szCs w:val="20"/>
              </w:rPr>
            </w:pPr>
            <w:r w:rsidRPr="000B63CE">
              <w:rPr>
                <w:rStyle w:val="Hyperlink"/>
                <w:b/>
                <w:sz w:val="20"/>
                <w:szCs w:val="20"/>
              </w:rPr>
              <w:t>NAME OF RULE CHANGE:</w:t>
            </w:r>
          </w:p>
        </w:tc>
        <w:tc>
          <w:tcPr>
            <w:tcW w:w="11682" w:type="dxa"/>
          </w:tcPr>
          <w:p w14:paraId="79903D28" w14:textId="467C1D59" w:rsidR="00C114E7" w:rsidRPr="000B63CE" w:rsidRDefault="005A132B" w:rsidP="001926E2">
            <w:pPr>
              <w:pStyle w:val="AEMCTableCopySubmitterDetails"/>
              <w:rPr>
                <w:rStyle w:val="Hyperlink"/>
                <w:b/>
                <w:sz w:val="20"/>
                <w:szCs w:val="20"/>
              </w:rPr>
            </w:pPr>
            <w:r w:rsidRPr="000B63CE">
              <w:rPr>
                <w:rStyle w:val="Hyperlink"/>
                <w:b/>
                <w:sz w:val="20"/>
                <w:szCs w:val="20"/>
              </w:rPr>
              <w:t xml:space="preserve">Review </w:t>
            </w:r>
            <w:r w:rsidR="008B57AA" w:rsidRPr="000B63CE">
              <w:rPr>
                <w:rStyle w:val="Hyperlink"/>
                <w:b/>
                <w:sz w:val="20"/>
                <w:szCs w:val="20"/>
              </w:rPr>
              <w:t>into extending the regulatory frameworks to hydrogen and renewable gases</w:t>
            </w:r>
          </w:p>
        </w:tc>
      </w:tr>
      <w:tr w:rsidR="00C114E7" w:rsidRPr="000B63CE" w14:paraId="0C0F3BAE" w14:textId="77777777" w:rsidTr="00AC3CEB">
        <w:trPr>
          <w:trHeight w:val="198"/>
        </w:trPr>
        <w:tc>
          <w:tcPr>
            <w:tcW w:w="2864" w:type="dxa"/>
          </w:tcPr>
          <w:p w14:paraId="32B36426" w14:textId="77777777" w:rsidR="00C114E7" w:rsidRPr="000B63CE" w:rsidRDefault="00C114E7" w:rsidP="001926E2">
            <w:pPr>
              <w:pStyle w:val="AEMCTableCopySubmitterDetails"/>
              <w:rPr>
                <w:rStyle w:val="Hyperlink"/>
                <w:b/>
                <w:sz w:val="20"/>
                <w:szCs w:val="20"/>
              </w:rPr>
            </w:pPr>
            <w:r w:rsidRPr="000B63CE">
              <w:rPr>
                <w:rStyle w:val="Hyperlink"/>
                <w:b/>
                <w:sz w:val="20"/>
                <w:szCs w:val="20"/>
              </w:rPr>
              <w:t>PROJECT CODE:</w:t>
            </w:r>
          </w:p>
        </w:tc>
        <w:tc>
          <w:tcPr>
            <w:tcW w:w="11682" w:type="dxa"/>
          </w:tcPr>
          <w:p w14:paraId="2715D814" w14:textId="28A66792" w:rsidR="00C114E7" w:rsidRPr="000B63CE" w:rsidRDefault="008B57AA" w:rsidP="001926E2">
            <w:pPr>
              <w:pStyle w:val="AEMCTableCopySubmitterDetails"/>
              <w:rPr>
                <w:rStyle w:val="Hyperlink"/>
                <w:sz w:val="20"/>
                <w:szCs w:val="20"/>
              </w:rPr>
            </w:pPr>
            <w:r w:rsidRPr="000B63CE">
              <w:rPr>
                <w:rStyle w:val="Hyperlink"/>
                <w:sz w:val="20"/>
                <w:szCs w:val="20"/>
              </w:rPr>
              <w:t>EMO0042</w:t>
            </w:r>
          </w:p>
        </w:tc>
      </w:tr>
      <w:tr w:rsidR="00C114E7" w:rsidRPr="000B63CE" w14:paraId="77D64F22" w14:textId="77777777" w:rsidTr="00AC3CEB">
        <w:trPr>
          <w:trHeight w:val="198"/>
        </w:trPr>
        <w:tc>
          <w:tcPr>
            <w:tcW w:w="2864" w:type="dxa"/>
          </w:tcPr>
          <w:p w14:paraId="3F712F78" w14:textId="77777777" w:rsidR="00C114E7" w:rsidRPr="000B63CE" w:rsidRDefault="00C114E7" w:rsidP="001926E2">
            <w:pPr>
              <w:pStyle w:val="AEMCTableCopySubmitterDetails"/>
              <w:rPr>
                <w:rStyle w:val="Hyperlink"/>
                <w:b/>
                <w:sz w:val="20"/>
                <w:szCs w:val="20"/>
              </w:rPr>
            </w:pPr>
            <w:r w:rsidRPr="000B63CE">
              <w:rPr>
                <w:rStyle w:val="Hyperlink"/>
                <w:b/>
                <w:sz w:val="20"/>
                <w:szCs w:val="20"/>
              </w:rPr>
              <w:t>PROPONENT:</w:t>
            </w:r>
          </w:p>
        </w:tc>
        <w:tc>
          <w:tcPr>
            <w:tcW w:w="11682" w:type="dxa"/>
          </w:tcPr>
          <w:p w14:paraId="7436DD57" w14:textId="221CCC40" w:rsidR="00C114E7" w:rsidRPr="000B63CE" w:rsidRDefault="00410C80" w:rsidP="001926E2">
            <w:pPr>
              <w:pStyle w:val="AEMCTableCopySubmitterDetails"/>
              <w:rPr>
                <w:rStyle w:val="Hyperlink"/>
                <w:sz w:val="20"/>
                <w:szCs w:val="20"/>
              </w:rPr>
            </w:pPr>
            <w:r w:rsidRPr="000B63CE">
              <w:rPr>
                <w:rStyle w:val="Hyperlink"/>
                <w:sz w:val="20"/>
                <w:szCs w:val="20"/>
              </w:rPr>
              <w:t xml:space="preserve">Energy Ministers </w:t>
            </w:r>
          </w:p>
        </w:tc>
      </w:tr>
      <w:tr w:rsidR="00C114E7" w:rsidRPr="000B63CE" w14:paraId="4D9FEB6F" w14:textId="77777777" w:rsidTr="00AC3CEB">
        <w:trPr>
          <w:trHeight w:val="198"/>
        </w:trPr>
        <w:tc>
          <w:tcPr>
            <w:tcW w:w="2864" w:type="dxa"/>
          </w:tcPr>
          <w:p w14:paraId="73A6C75B" w14:textId="77777777" w:rsidR="00C114E7" w:rsidRPr="000B63CE" w:rsidRDefault="00C114E7" w:rsidP="001926E2">
            <w:pPr>
              <w:pStyle w:val="AEMCTableCopySubmitterDetails"/>
              <w:rPr>
                <w:rStyle w:val="Hyperlink"/>
                <w:b/>
                <w:sz w:val="20"/>
                <w:szCs w:val="20"/>
              </w:rPr>
            </w:pPr>
            <w:r w:rsidRPr="000B63CE">
              <w:rPr>
                <w:rStyle w:val="Hyperlink"/>
                <w:b/>
                <w:sz w:val="20"/>
                <w:szCs w:val="20"/>
              </w:rPr>
              <w:t>SUBMISSION DUE DATE:</w:t>
            </w:r>
          </w:p>
        </w:tc>
        <w:tc>
          <w:tcPr>
            <w:tcW w:w="11682" w:type="dxa"/>
          </w:tcPr>
          <w:p w14:paraId="603ADF93" w14:textId="244C27F7" w:rsidR="00C114E7" w:rsidRPr="000B63CE" w:rsidRDefault="00410C80" w:rsidP="001926E2">
            <w:pPr>
              <w:pStyle w:val="AEMCTableCopySubmitterDetails"/>
              <w:rPr>
                <w:rStyle w:val="Hyperlink"/>
                <w:sz w:val="20"/>
                <w:szCs w:val="20"/>
              </w:rPr>
            </w:pPr>
            <w:r w:rsidRPr="000B63CE">
              <w:rPr>
                <w:rStyle w:val="Hyperlink"/>
                <w:sz w:val="20"/>
                <w:szCs w:val="20"/>
              </w:rPr>
              <w:t>2 December 2021</w:t>
            </w:r>
          </w:p>
        </w:tc>
      </w:tr>
    </w:tbl>
    <w:p w14:paraId="63CD0548" w14:textId="77777777" w:rsidR="00DC470C" w:rsidRDefault="00DC470C" w:rsidP="00283258">
      <w:pPr>
        <w:pStyle w:val="AEMCHeaderL4"/>
        <w:rPr>
          <w:rStyle w:val="Hyperlink"/>
          <w:b/>
        </w:rPr>
      </w:pPr>
    </w:p>
    <w:p w14:paraId="58F8A691" w14:textId="0AA59D0F" w:rsidR="00283258" w:rsidRPr="008A4886" w:rsidRDefault="00283258" w:rsidP="00283258">
      <w:pPr>
        <w:pStyle w:val="AEMCHeaderL4"/>
        <w:rPr>
          <w:rStyle w:val="Hyperlink"/>
        </w:rPr>
      </w:pPr>
      <w:r>
        <w:rPr>
          <w:rStyle w:val="Hyperlink"/>
          <w:b/>
        </w:rPr>
        <w:lastRenderedPageBreak/>
        <w:t xml:space="preserve">Question </w:t>
      </w:r>
      <w:r w:rsidR="00BE0E20">
        <w:rPr>
          <w:rStyle w:val="Hyperlink"/>
          <w:b/>
        </w:rPr>
        <w:t>1</w:t>
      </w:r>
      <w:r>
        <w:rPr>
          <w:rStyle w:val="Hyperlink"/>
          <w:b/>
        </w:rPr>
        <w:t xml:space="preserve"> – chapter </w:t>
      </w:r>
      <w:r w:rsidR="00BE0E20">
        <w:rPr>
          <w:rStyle w:val="Hyperlink"/>
          <w:b/>
        </w:rPr>
        <w:t>1</w:t>
      </w:r>
      <w:r>
        <w:rPr>
          <w:rStyle w:val="Hyperlink"/>
          <w:b/>
        </w:rPr>
        <w:t xml:space="preserve"> </w:t>
      </w:r>
      <w:r w:rsidR="00C92BB3" w:rsidRPr="008A4886">
        <w:rPr>
          <w:rStyle w:val="Hyperlink"/>
        </w:rPr>
        <w:t xml:space="preserve">– </w:t>
      </w:r>
      <w:r w:rsidR="00C92BB3">
        <w:rPr>
          <w:rStyle w:val="Hyperlink"/>
        </w:rPr>
        <w:t>INTRODUCTION</w:t>
      </w:r>
      <w:r>
        <w:rPr>
          <w:rStyle w:val="Hyperlink"/>
        </w:rPr>
        <w:t xml:space="preserve"> </w:t>
      </w:r>
    </w:p>
    <w:tbl>
      <w:tblPr>
        <w:tblStyle w:val="TableGrid"/>
        <w:tblW w:w="15421"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19"/>
        <w:gridCol w:w="9902"/>
      </w:tblGrid>
      <w:tr w:rsidR="00283258" w:rsidRPr="0000465F" w14:paraId="4B076057" w14:textId="77777777" w:rsidTr="00AC3CEB">
        <w:trPr>
          <w:trHeight w:val="522"/>
        </w:trPr>
        <w:tc>
          <w:tcPr>
            <w:tcW w:w="5519" w:type="dxa"/>
            <w:tcBorders>
              <w:top w:val="single" w:sz="18" w:space="0" w:color="00A8E5" w:themeColor="accent1"/>
              <w:right w:val="single" w:sz="2" w:space="0" w:color="58595B" w:themeColor="accent4"/>
            </w:tcBorders>
            <w:shd w:val="clear" w:color="auto" w:fill="F6F6F6"/>
          </w:tcPr>
          <w:p w14:paraId="561ADFE4" w14:textId="17278A02" w:rsidR="00283258" w:rsidRPr="0000465F" w:rsidRDefault="00E9689F" w:rsidP="005C55A2">
            <w:pPr>
              <w:pStyle w:val="AEMCTableBodyCopy"/>
              <w:numPr>
                <w:ilvl w:val="0"/>
                <w:numId w:val="6"/>
              </w:numPr>
              <w:rPr>
                <w:rStyle w:val="Hyperlink"/>
              </w:rPr>
            </w:pPr>
            <w:r>
              <w:t>Do you agree with the Commission's preliminary position on the scope of this review?</w:t>
            </w:r>
          </w:p>
        </w:tc>
        <w:tc>
          <w:tcPr>
            <w:tcW w:w="9902" w:type="dxa"/>
            <w:tcBorders>
              <w:top w:val="single" w:sz="18" w:space="0" w:color="00A8E5" w:themeColor="accent1"/>
              <w:left w:val="single" w:sz="2" w:space="0" w:color="58595B" w:themeColor="accent4"/>
            </w:tcBorders>
          </w:tcPr>
          <w:p w14:paraId="600C1826" w14:textId="1F91D5B7" w:rsidR="00283258" w:rsidRPr="00785222" w:rsidRDefault="00283258" w:rsidP="005C55A2">
            <w:pPr>
              <w:pStyle w:val="AEMCTableBodyCopy"/>
              <w:rPr>
                <w:rStyle w:val="Hyperlink"/>
              </w:rPr>
            </w:pPr>
          </w:p>
        </w:tc>
      </w:tr>
      <w:tr w:rsidR="00283258" w:rsidRPr="0000465F" w14:paraId="6655737B" w14:textId="77777777" w:rsidTr="00AC3CEB">
        <w:trPr>
          <w:trHeight w:val="533"/>
        </w:trPr>
        <w:tc>
          <w:tcPr>
            <w:tcW w:w="5519" w:type="dxa"/>
            <w:tcBorders>
              <w:right w:val="single" w:sz="2" w:space="0" w:color="58595B" w:themeColor="accent4"/>
            </w:tcBorders>
            <w:shd w:val="clear" w:color="auto" w:fill="F6F6F6"/>
          </w:tcPr>
          <w:p w14:paraId="7507D114" w14:textId="07749C03" w:rsidR="00283258" w:rsidRPr="0000465F" w:rsidRDefault="00C92BB3" w:rsidP="005C55A2">
            <w:pPr>
              <w:pStyle w:val="AEMCTableBodyCopy"/>
              <w:numPr>
                <w:ilvl w:val="0"/>
                <w:numId w:val="6"/>
              </w:numPr>
              <w:rPr>
                <w:rStyle w:val="Hyperlink"/>
              </w:rPr>
            </w:pPr>
            <w:r>
              <w:t xml:space="preserve">Are there additional areas in the </w:t>
            </w:r>
            <w:r>
              <w:rPr>
                <w:rStyle w:val="proofreader-typo"/>
              </w:rPr>
              <w:t>NGR</w:t>
            </w:r>
            <w:r>
              <w:t xml:space="preserve"> or </w:t>
            </w:r>
            <w:r>
              <w:rPr>
                <w:rStyle w:val="proofreader-typo"/>
              </w:rPr>
              <w:t>NERR</w:t>
            </w:r>
            <w:r>
              <w:t xml:space="preserve"> that should be excluded or included in the current review? If so, why?</w:t>
            </w:r>
          </w:p>
        </w:tc>
        <w:tc>
          <w:tcPr>
            <w:tcW w:w="9902" w:type="dxa"/>
            <w:tcBorders>
              <w:left w:val="single" w:sz="2" w:space="0" w:color="58595B" w:themeColor="accent4"/>
            </w:tcBorders>
          </w:tcPr>
          <w:p w14:paraId="47ECE68C" w14:textId="38C090EB" w:rsidR="00283258" w:rsidRPr="00785222" w:rsidRDefault="00283258" w:rsidP="005C55A2">
            <w:pPr>
              <w:pStyle w:val="AEMCTableBodyCopy"/>
              <w:rPr>
                <w:rStyle w:val="Hyperlink"/>
              </w:rPr>
            </w:pPr>
          </w:p>
        </w:tc>
      </w:tr>
    </w:tbl>
    <w:p w14:paraId="4AE4DDBA" w14:textId="77E4C14F" w:rsidR="000E4AF3" w:rsidRPr="008A4886" w:rsidRDefault="000E4AF3" w:rsidP="000E4AF3">
      <w:pPr>
        <w:pStyle w:val="AEMCHeaderL4"/>
        <w:rPr>
          <w:rStyle w:val="Hyperlink"/>
        </w:rPr>
      </w:pPr>
      <w:r>
        <w:rPr>
          <w:rStyle w:val="Hyperlink"/>
          <w:b/>
        </w:rPr>
        <w:t xml:space="preserve">Question </w:t>
      </w:r>
      <w:r w:rsidR="00BE0E20">
        <w:rPr>
          <w:rStyle w:val="Hyperlink"/>
          <w:b/>
        </w:rPr>
        <w:t>2</w:t>
      </w:r>
      <w:r>
        <w:rPr>
          <w:rStyle w:val="Hyperlink"/>
          <w:b/>
        </w:rPr>
        <w:t xml:space="preserve"> – chapter </w:t>
      </w:r>
      <w:r w:rsidR="00BE0E20">
        <w:rPr>
          <w:rStyle w:val="Hyperlink"/>
          <w:b/>
        </w:rPr>
        <w:t>2</w:t>
      </w:r>
      <w:r>
        <w:rPr>
          <w:rStyle w:val="Hyperlink"/>
          <w:b/>
        </w:rPr>
        <w:t xml:space="preserve"> </w:t>
      </w:r>
      <w:r w:rsidRPr="008A4886">
        <w:rPr>
          <w:rStyle w:val="Hyperlink"/>
        </w:rPr>
        <w:t xml:space="preserve">– </w:t>
      </w:r>
      <w:r>
        <w:rPr>
          <w:rStyle w:val="Hyperlink"/>
        </w:rPr>
        <w:t>Asses</w:t>
      </w:r>
      <w:r w:rsidR="005213C6">
        <w:rPr>
          <w:rStyle w:val="Hyperlink"/>
        </w:rPr>
        <w:t>s</w:t>
      </w:r>
      <w:r>
        <w:rPr>
          <w:rStyle w:val="Hyperlink"/>
        </w:rPr>
        <w:t>men</w:t>
      </w:r>
      <w:r w:rsidR="003C253A">
        <w:rPr>
          <w:rStyle w:val="Hyperlink"/>
        </w:rPr>
        <w:t>t</w:t>
      </w:r>
      <w:r>
        <w:rPr>
          <w:rStyle w:val="Hyperlink"/>
        </w:rPr>
        <w:t xml:space="preserve"> framework </w:t>
      </w:r>
    </w:p>
    <w:tbl>
      <w:tblPr>
        <w:tblStyle w:val="TableGrid"/>
        <w:tblW w:w="15407"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14"/>
        <w:gridCol w:w="9893"/>
      </w:tblGrid>
      <w:tr w:rsidR="000E4AF3" w:rsidRPr="0000465F" w14:paraId="7DD1B76A" w14:textId="77777777" w:rsidTr="00AC3CEB">
        <w:trPr>
          <w:trHeight w:val="761"/>
        </w:trPr>
        <w:tc>
          <w:tcPr>
            <w:tcW w:w="5514" w:type="dxa"/>
            <w:tcBorders>
              <w:top w:val="single" w:sz="18" w:space="0" w:color="00A8E5" w:themeColor="accent1"/>
              <w:right w:val="single" w:sz="2" w:space="0" w:color="58595B" w:themeColor="accent4"/>
            </w:tcBorders>
            <w:shd w:val="clear" w:color="auto" w:fill="F6F6F6"/>
          </w:tcPr>
          <w:p w14:paraId="491B14D7" w14:textId="3EF1787F" w:rsidR="000E4AF3" w:rsidRPr="0000465F" w:rsidRDefault="003C253A" w:rsidP="005C55A2">
            <w:pPr>
              <w:pStyle w:val="AEMCTableBodyCopy"/>
              <w:numPr>
                <w:ilvl w:val="0"/>
                <w:numId w:val="6"/>
              </w:numPr>
              <w:rPr>
                <w:rStyle w:val="Hyperlink"/>
              </w:rPr>
            </w:pPr>
            <w:r>
              <w:t>Do you agree with the Commission’s proposed assessment framework for this review?</w:t>
            </w:r>
          </w:p>
        </w:tc>
        <w:tc>
          <w:tcPr>
            <w:tcW w:w="9893" w:type="dxa"/>
            <w:tcBorders>
              <w:top w:val="single" w:sz="18" w:space="0" w:color="00A8E5" w:themeColor="accent1"/>
              <w:left w:val="single" w:sz="2" w:space="0" w:color="58595B" w:themeColor="accent4"/>
            </w:tcBorders>
          </w:tcPr>
          <w:p w14:paraId="2EFB6801" w14:textId="77777777" w:rsidR="000E4AF3" w:rsidRPr="00785222" w:rsidRDefault="000E4AF3" w:rsidP="005C55A2">
            <w:pPr>
              <w:pStyle w:val="AEMCTableBodyCopy"/>
              <w:rPr>
                <w:rStyle w:val="Hyperlink"/>
              </w:rPr>
            </w:pPr>
          </w:p>
        </w:tc>
      </w:tr>
      <w:tr w:rsidR="000E4AF3" w:rsidRPr="0000465F" w14:paraId="3FCA5703" w14:textId="77777777" w:rsidTr="00AC3CEB">
        <w:trPr>
          <w:trHeight w:val="598"/>
        </w:trPr>
        <w:tc>
          <w:tcPr>
            <w:tcW w:w="5514" w:type="dxa"/>
            <w:tcBorders>
              <w:right w:val="single" w:sz="2" w:space="0" w:color="58595B" w:themeColor="accent4"/>
            </w:tcBorders>
            <w:shd w:val="clear" w:color="auto" w:fill="F6F6F6"/>
          </w:tcPr>
          <w:p w14:paraId="71766187" w14:textId="4D1E09E7" w:rsidR="000E4AF3" w:rsidRPr="0000465F" w:rsidRDefault="003C253A" w:rsidP="005C55A2">
            <w:pPr>
              <w:pStyle w:val="AEMCTableBodyCopy"/>
              <w:numPr>
                <w:ilvl w:val="0"/>
                <w:numId w:val="6"/>
              </w:numPr>
              <w:rPr>
                <w:rStyle w:val="Hyperlink"/>
              </w:rPr>
            </w:pPr>
            <w:r>
              <w:t>Are there any criteria the Commission should or should not consider as a part of its assessment framework?</w:t>
            </w:r>
            <w:r w:rsidR="000E4AF3">
              <w:t>?</w:t>
            </w:r>
          </w:p>
        </w:tc>
        <w:tc>
          <w:tcPr>
            <w:tcW w:w="9893" w:type="dxa"/>
            <w:tcBorders>
              <w:left w:val="single" w:sz="2" w:space="0" w:color="58595B" w:themeColor="accent4"/>
            </w:tcBorders>
          </w:tcPr>
          <w:p w14:paraId="65887A57" w14:textId="77777777" w:rsidR="000E4AF3" w:rsidRPr="00785222" w:rsidRDefault="000E4AF3" w:rsidP="005C55A2">
            <w:pPr>
              <w:pStyle w:val="AEMCTableBodyCopy"/>
              <w:rPr>
                <w:rStyle w:val="Hyperlink"/>
              </w:rPr>
            </w:pPr>
          </w:p>
        </w:tc>
      </w:tr>
    </w:tbl>
    <w:p w14:paraId="35D85B06" w14:textId="469C3486" w:rsidR="003C253A" w:rsidRPr="008A4886" w:rsidRDefault="003C253A" w:rsidP="003C253A">
      <w:pPr>
        <w:pStyle w:val="AEMCHeaderL4"/>
        <w:rPr>
          <w:rStyle w:val="Hyperlink"/>
        </w:rPr>
      </w:pPr>
      <w:r>
        <w:rPr>
          <w:rStyle w:val="Hyperlink"/>
          <w:b/>
        </w:rPr>
        <w:t xml:space="preserve">Question </w:t>
      </w:r>
      <w:r w:rsidR="00BE0E20">
        <w:rPr>
          <w:rStyle w:val="Hyperlink"/>
          <w:b/>
        </w:rPr>
        <w:t>3</w:t>
      </w:r>
      <w:r>
        <w:rPr>
          <w:rStyle w:val="Hyperlink"/>
          <w:b/>
        </w:rPr>
        <w:t xml:space="preserve"> – chapter </w:t>
      </w:r>
      <w:r w:rsidR="00BE0E20">
        <w:rPr>
          <w:rStyle w:val="Hyperlink"/>
          <w:b/>
        </w:rPr>
        <w:t>3</w:t>
      </w:r>
      <w:r>
        <w:rPr>
          <w:rStyle w:val="Hyperlink"/>
          <w:b/>
        </w:rPr>
        <w:t xml:space="preserve"> </w:t>
      </w:r>
      <w:r w:rsidRPr="008A4886">
        <w:rPr>
          <w:rStyle w:val="Hyperlink"/>
        </w:rPr>
        <w:t xml:space="preserve">– </w:t>
      </w:r>
      <w:r w:rsidR="00FF6284">
        <w:rPr>
          <w:rStyle w:val="Hyperlink"/>
        </w:rPr>
        <w:t>Supplier access to pipelines</w:t>
      </w:r>
      <w:r>
        <w:rPr>
          <w:rStyle w:val="Hyperlink"/>
        </w:rPr>
        <w:t xml:space="preserve"> </w:t>
      </w:r>
    </w:p>
    <w:tbl>
      <w:tblPr>
        <w:tblStyle w:val="TableGrid"/>
        <w:tblW w:w="15470"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7"/>
        <w:gridCol w:w="9933"/>
      </w:tblGrid>
      <w:tr w:rsidR="003C253A" w:rsidRPr="0000465F" w14:paraId="77632393" w14:textId="77777777" w:rsidTr="00AC3CEB">
        <w:trPr>
          <w:trHeight w:val="1046"/>
        </w:trPr>
        <w:tc>
          <w:tcPr>
            <w:tcW w:w="5537" w:type="dxa"/>
            <w:tcBorders>
              <w:top w:val="single" w:sz="18" w:space="0" w:color="00A8E5" w:themeColor="accent1"/>
              <w:right w:val="single" w:sz="2" w:space="0" w:color="58595B" w:themeColor="accent4"/>
            </w:tcBorders>
            <w:shd w:val="clear" w:color="auto" w:fill="F6F6F6"/>
          </w:tcPr>
          <w:p w14:paraId="4828CA5F" w14:textId="03FF5652" w:rsidR="003C253A" w:rsidRPr="0000465F" w:rsidRDefault="00FF6284" w:rsidP="005C55A2">
            <w:pPr>
              <w:pStyle w:val="AEMCTableBodyCopy"/>
              <w:numPr>
                <w:ilvl w:val="0"/>
                <w:numId w:val="6"/>
              </w:numPr>
              <w:rPr>
                <w:rStyle w:val="Hyperlink"/>
              </w:rPr>
            </w:pPr>
            <w:r>
              <w:t xml:space="preserve">Do you think that any additional guidance is required in the </w:t>
            </w:r>
            <w:r>
              <w:rPr>
                <w:rStyle w:val="proofreader-typo"/>
              </w:rPr>
              <w:t>NGR</w:t>
            </w:r>
            <w:r>
              <w:t xml:space="preserve"> to deal with connections by suppliers of natural gas equivalents or constituent gases, or are the new draft interconnection rules sufficient? If you think additional guidance is required, please set out what guidance you think is required.</w:t>
            </w:r>
          </w:p>
        </w:tc>
        <w:tc>
          <w:tcPr>
            <w:tcW w:w="9933" w:type="dxa"/>
            <w:tcBorders>
              <w:top w:val="single" w:sz="18" w:space="0" w:color="00A8E5" w:themeColor="accent1"/>
              <w:left w:val="single" w:sz="2" w:space="0" w:color="58595B" w:themeColor="accent4"/>
            </w:tcBorders>
          </w:tcPr>
          <w:p w14:paraId="5FE88C81" w14:textId="77777777" w:rsidR="003C253A" w:rsidRPr="00785222" w:rsidRDefault="003C253A" w:rsidP="005C55A2">
            <w:pPr>
              <w:pStyle w:val="AEMCTableBodyCopy"/>
              <w:rPr>
                <w:rStyle w:val="Hyperlink"/>
              </w:rPr>
            </w:pPr>
          </w:p>
        </w:tc>
      </w:tr>
      <w:tr w:rsidR="003C253A" w:rsidRPr="0000465F" w14:paraId="14D2D42E" w14:textId="77777777" w:rsidTr="00AC3CEB">
        <w:trPr>
          <w:trHeight w:val="1071"/>
        </w:trPr>
        <w:tc>
          <w:tcPr>
            <w:tcW w:w="5537" w:type="dxa"/>
            <w:tcBorders>
              <w:right w:val="single" w:sz="2" w:space="0" w:color="58595B" w:themeColor="accent4"/>
            </w:tcBorders>
            <w:shd w:val="clear" w:color="auto" w:fill="F6F6F6"/>
          </w:tcPr>
          <w:p w14:paraId="3158C221" w14:textId="5C2F5414" w:rsidR="003C253A" w:rsidRPr="0000465F" w:rsidRDefault="00F20E42" w:rsidP="005C55A2">
            <w:pPr>
              <w:pStyle w:val="AEMCTableBodyCopy"/>
              <w:numPr>
                <w:ilvl w:val="0"/>
                <w:numId w:val="6"/>
              </w:numPr>
              <w:rPr>
                <w:rStyle w:val="Hyperlink"/>
              </w:rPr>
            </w:pPr>
            <w:r>
              <w:t>Do you think service providers should be required to publish information on where connections by suppliers of natural gas equivalents or constituent gases would be technically feasible, or should this just be left to negotiations?</w:t>
            </w:r>
          </w:p>
        </w:tc>
        <w:tc>
          <w:tcPr>
            <w:tcW w:w="9933" w:type="dxa"/>
            <w:tcBorders>
              <w:left w:val="single" w:sz="2" w:space="0" w:color="58595B" w:themeColor="accent4"/>
            </w:tcBorders>
          </w:tcPr>
          <w:p w14:paraId="0048E052" w14:textId="77777777" w:rsidR="003C253A" w:rsidRDefault="003C253A" w:rsidP="005C55A2">
            <w:pPr>
              <w:pStyle w:val="AEMCTableBodyCopy"/>
              <w:rPr>
                <w:rStyle w:val="Hyperlink"/>
              </w:rPr>
            </w:pPr>
          </w:p>
          <w:p w14:paraId="4FC6A613" w14:textId="77777777" w:rsidR="00F20E42" w:rsidRDefault="00F20E42" w:rsidP="00F20E42">
            <w:pPr>
              <w:rPr>
                <w:rStyle w:val="Hyperlink"/>
                <w:szCs w:val="18"/>
              </w:rPr>
            </w:pPr>
          </w:p>
          <w:p w14:paraId="69929166" w14:textId="77777777" w:rsidR="00F20E42" w:rsidRDefault="00F20E42" w:rsidP="00F20E42">
            <w:pPr>
              <w:rPr>
                <w:rStyle w:val="Hyperlink"/>
                <w:szCs w:val="18"/>
              </w:rPr>
            </w:pPr>
          </w:p>
          <w:p w14:paraId="351C2C0E" w14:textId="12DDFF29" w:rsidR="00F20E42" w:rsidRPr="00F20E42" w:rsidRDefault="00F20E42" w:rsidP="00F20E42">
            <w:pPr>
              <w:ind w:firstLine="720"/>
            </w:pPr>
          </w:p>
        </w:tc>
      </w:tr>
      <w:tr w:rsidR="00F20E42" w:rsidRPr="0000465F" w14:paraId="4B94C672" w14:textId="77777777" w:rsidTr="00AC3CEB">
        <w:trPr>
          <w:trHeight w:val="1290"/>
        </w:trPr>
        <w:tc>
          <w:tcPr>
            <w:tcW w:w="5537" w:type="dxa"/>
            <w:tcBorders>
              <w:right w:val="single" w:sz="2" w:space="0" w:color="58595B" w:themeColor="accent4"/>
            </w:tcBorders>
            <w:shd w:val="clear" w:color="auto" w:fill="F6F6F6"/>
          </w:tcPr>
          <w:p w14:paraId="435CF812" w14:textId="0B969E3A" w:rsidR="00F20E42" w:rsidRDefault="00F20E42" w:rsidP="005C55A2">
            <w:pPr>
              <w:pStyle w:val="AEMCTableBodyCopy"/>
              <w:numPr>
                <w:ilvl w:val="0"/>
                <w:numId w:val="6"/>
              </w:numPr>
            </w:pPr>
            <w:r>
              <w:t xml:space="preserve">Do you think that any specific rules are required in the </w:t>
            </w:r>
            <w:r>
              <w:rPr>
                <w:rStyle w:val="proofreader-typo"/>
              </w:rPr>
              <w:t>NGR</w:t>
            </w:r>
            <w:r>
              <w:t xml:space="preserve"> to deal with the risk that service providers may favour their own natural gas equivalents or constituent gas facilities by curtailing other facilities ahead of their own, or do you think this should be dealt with through ring-fencing arrangements?</w:t>
            </w:r>
          </w:p>
        </w:tc>
        <w:tc>
          <w:tcPr>
            <w:tcW w:w="9933" w:type="dxa"/>
            <w:tcBorders>
              <w:left w:val="single" w:sz="2" w:space="0" w:color="58595B" w:themeColor="accent4"/>
            </w:tcBorders>
          </w:tcPr>
          <w:p w14:paraId="60A596BD" w14:textId="77777777" w:rsidR="00F20E42" w:rsidRDefault="00F20E42" w:rsidP="005C55A2">
            <w:pPr>
              <w:pStyle w:val="AEMCTableBodyCopy"/>
              <w:rPr>
                <w:rStyle w:val="Hyperlink"/>
              </w:rPr>
            </w:pPr>
          </w:p>
        </w:tc>
      </w:tr>
    </w:tbl>
    <w:p w14:paraId="0B17E3C9" w14:textId="77777777" w:rsidR="00C114E7" w:rsidRDefault="00C114E7" w:rsidP="008A4886">
      <w:pPr>
        <w:pStyle w:val="AEMCHeaderL4"/>
        <w:rPr>
          <w:rStyle w:val="Hyperlink"/>
          <w:b/>
        </w:rPr>
      </w:pPr>
    </w:p>
    <w:p w14:paraId="493E6320" w14:textId="24D89046" w:rsidR="00F20E42" w:rsidRPr="008A4886" w:rsidRDefault="00F20E42" w:rsidP="00F20E42">
      <w:pPr>
        <w:pStyle w:val="AEMCHeaderL4"/>
        <w:rPr>
          <w:rStyle w:val="Hyperlink"/>
        </w:rPr>
      </w:pPr>
      <w:r>
        <w:rPr>
          <w:rStyle w:val="Hyperlink"/>
          <w:b/>
        </w:rPr>
        <w:lastRenderedPageBreak/>
        <w:t xml:space="preserve">Question </w:t>
      </w:r>
      <w:r w:rsidR="00BE0E20">
        <w:rPr>
          <w:rStyle w:val="Hyperlink"/>
          <w:b/>
        </w:rPr>
        <w:t>4</w:t>
      </w:r>
      <w:r>
        <w:rPr>
          <w:rStyle w:val="Hyperlink"/>
          <w:b/>
        </w:rPr>
        <w:t xml:space="preserve"> – chapter </w:t>
      </w:r>
      <w:r w:rsidR="00E04C5D">
        <w:rPr>
          <w:rStyle w:val="Hyperlink"/>
          <w:b/>
        </w:rPr>
        <w:t>3</w:t>
      </w:r>
      <w:r>
        <w:rPr>
          <w:rStyle w:val="Hyperlink"/>
          <w:b/>
        </w:rPr>
        <w:t xml:space="preserve"> </w:t>
      </w:r>
      <w:r w:rsidRPr="008A4886">
        <w:rPr>
          <w:rStyle w:val="Hyperlink"/>
        </w:rPr>
        <w:t xml:space="preserve">– </w:t>
      </w:r>
      <w:r>
        <w:rPr>
          <w:rStyle w:val="Hyperlink"/>
        </w:rPr>
        <w:t>Ring</w:t>
      </w:r>
      <w:r w:rsidR="005213C6">
        <w:rPr>
          <w:rStyle w:val="Hyperlink"/>
        </w:rPr>
        <w:t>-</w:t>
      </w:r>
      <w:r>
        <w:rPr>
          <w:rStyle w:val="Hyperlink"/>
        </w:rPr>
        <w:t xml:space="preserve">fencing arrangements </w:t>
      </w:r>
    </w:p>
    <w:tbl>
      <w:tblPr>
        <w:tblStyle w:val="TableGrid"/>
        <w:tblW w:w="15466"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5"/>
        <w:gridCol w:w="9931"/>
      </w:tblGrid>
      <w:tr w:rsidR="00F20E42" w:rsidRPr="0000465F" w14:paraId="36FDF255" w14:textId="77777777" w:rsidTr="00AC3CEB">
        <w:trPr>
          <w:trHeight w:val="576"/>
        </w:trPr>
        <w:tc>
          <w:tcPr>
            <w:tcW w:w="5535" w:type="dxa"/>
            <w:tcBorders>
              <w:top w:val="single" w:sz="18" w:space="0" w:color="00A8E5" w:themeColor="accent1"/>
              <w:right w:val="single" w:sz="2" w:space="0" w:color="58595B" w:themeColor="accent4"/>
            </w:tcBorders>
            <w:shd w:val="clear" w:color="auto" w:fill="F6F6F6"/>
          </w:tcPr>
          <w:p w14:paraId="796D9BDD" w14:textId="48E3BC85" w:rsidR="00F20E42" w:rsidRPr="0000465F" w:rsidRDefault="00BD065A" w:rsidP="005C55A2">
            <w:pPr>
              <w:pStyle w:val="AEMCTableBodyCopy"/>
              <w:numPr>
                <w:ilvl w:val="0"/>
                <w:numId w:val="6"/>
              </w:numPr>
              <w:rPr>
                <w:rStyle w:val="Hyperlink"/>
              </w:rPr>
            </w:pPr>
            <w:r>
              <w:t>Do you think the ring-fencing exemptions in the NGR should be amended to accommodate trials by service providers? Why?</w:t>
            </w:r>
          </w:p>
        </w:tc>
        <w:tc>
          <w:tcPr>
            <w:tcW w:w="9931" w:type="dxa"/>
            <w:tcBorders>
              <w:top w:val="single" w:sz="18" w:space="0" w:color="00A8E5" w:themeColor="accent1"/>
              <w:left w:val="single" w:sz="2" w:space="0" w:color="58595B" w:themeColor="accent4"/>
            </w:tcBorders>
          </w:tcPr>
          <w:p w14:paraId="7D0153EF" w14:textId="77777777" w:rsidR="00F20E42" w:rsidRPr="00785222" w:rsidRDefault="00F20E42" w:rsidP="005C55A2">
            <w:pPr>
              <w:pStyle w:val="AEMCTableBodyCopy"/>
              <w:rPr>
                <w:rStyle w:val="Hyperlink"/>
              </w:rPr>
            </w:pPr>
          </w:p>
        </w:tc>
      </w:tr>
      <w:tr w:rsidR="00F20E42" w:rsidRPr="0000465F" w14:paraId="084C2639" w14:textId="77777777" w:rsidTr="00AC3CEB">
        <w:trPr>
          <w:trHeight w:val="789"/>
        </w:trPr>
        <w:tc>
          <w:tcPr>
            <w:tcW w:w="5535" w:type="dxa"/>
            <w:tcBorders>
              <w:right w:val="single" w:sz="2" w:space="0" w:color="58595B" w:themeColor="accent4"/>
            </w:tcBorders>
            <w:shd w:val="clear" w:color="auto" w:fill="F6F6F6"/>
          </w:tcPr>
          <w:p w14:paraId="4746801E" w14:textId="5157B19A" w:rsidR="00F20E42" w:rsidRPr="0000465F" w:rsidRDefault="00BD065A" w:rsidP="005C55A2">
            <w:pPr>
              <w:pStyle w:val="AEMCTableBodyCopy"/>
              <w:numPr>
                <w:ilvl w:val="0"/>
                <w:numId w:val="6"/>
              </w:numPr>
              <w:rPr>
                <w:rStyle w:val="Hyperlink"/>
              </w:rPr>
            </w:pPr>
            <w:r>
              <w:t>If so, do you think there should be any limit on the volume service providers should be able to producer, purchase or sell (</w:t>
            </w:r>
            <w:proofErr w:type="gramStart"/>
            <w:r>
              <w:t>e.g.</w:t>
            </w:r>
            <w:proofErr w:type="gramEnd"/>
            <w:r>
              <w:t> up to the unaccounted for gas level)?</w:t>
            </w:r>
          </w:p>
        </w:tc>
        <w:tc>
          <w:tcPr>
            <w:tcW w:w="9931" w:type="dxa"/>
            <w:tcBorders>
              <w:left w:val="single" w:sz="2" w:space="0" w:color="58595B" w:themeColor="accent4"/>
            </w:tcBorders>
          </w:tcPr>
          <w:p w14:paraId="76ADE58C" w14:textId="77777777" w:rsidR="00F20E42" w:rsidRPr="00785222" w:rsidRDefault="00F20E42" w:rsidP="005C55A2">
            <w:pPr>
              <w:pStyle w:val="AEMCTableBodyCopy"/>
              <w:rPr>
                <w:rStyle w:val="Hyperlink"/>
              </w:rPr>
            </w:pPr>
          </w:p>
        </w:tc>
      </w:tr>
      <w:tr w:rsidR="00BD065A" w:rsidRPr="0000465F" w14:paraId="71098233" w14:textId="77777777" w:rsidTr="00AC3CEB">
        <w:trPr>
          <w:trHeight w:val="789"/>
        </w:trPr>
        <w:tc>
          <w:tcPr>
            <w:tcW w:w="5535" w:type="dxa"/>
            <w:tcBorders>
              <w:right w:val="single" w:sz="2" w:space="0" w:color="58595B" w:themeColor="accent4"/>
            </w:tcBorders>
            <w:shd w:val="clear" w:color="auto" w:fill="F6F6F6"/>
          </w:tcPr>
          <w:p w14:paraId="23719EB3" w14:textId="4CEB6FCF" w:rsidR="00BD065A" w:rsidRDefault="00BD065A" w:rsidP="005C55A2">
            <w:pPr>
              <w:pStyle w:val="AEMCTableBodyCopy"/>
              <w:numPr>
                <w:ilvl w:val="0"/>
                <w:numId w:val="6"/>
              </w:numPr>
            </w:pPr>
            <w:r>
              <w:t>Do you think any other changes need to be made to the ring-fencing provisions in the NGL or NGR to accommodate natural gas equivalents or constituent gases?</w:t>
            </w:r>
          </w:p>
        </w:tc>
        <w:tc>
          <w:tcPr>
            <w:tcW w:w="9931" w:type="dxa"/>
            <w:tcBorders>
              <w:left w:val="single" w:sz="2" w:space="0" w:color="58595B" w:themeColor="accent4"/>
            </w:tcBorders>
          </w:tcPr>
          <w:p w14:paraId="58E1FF3C" w14:textId="77777777" w:rsidR="00BD065A" w:rsidRPr="00785222" w:rsidRDefault="00BD065A" w:rsidP="005C55A2">
            <w:pPr>
              <w:pStyle w:val="AEMCTableBodyCopy"/>
              <w:rPr>
                <w:rStyle w:val="Hyperlink"/>
              </w:rPr>
            </w:pPr>
          </w:p>
        </w:tc>
      </w:tr>
    </w:tbl>
    <w:p w14:paraId="0D1B8FA9" w14:textId="7C09759B" w:rsidR="00BD065A" w:rsidRPr="008A4886" w:rsidRDefault="00BD065A" w:rsidP="00BD065A">
      <w:pPr>
        <w:pStyle w:val="AEMCHeaderL4"/>
        <w:rPr>
          <w:rStyle w:val="Hyperlink"/>
        </w:rPr>
      </w:pPr>
      <w:r>
        <w:rPr>
          <w:rStyle w:val="Hyperlink"/>
          <w:b/>
        </w:rPr>
        <w:t xml:space="preserve">Question </w:t>
      </w:r>
      <w:r w:rsidR="00E04C5D">
        <w:rPr>
          <w:rStyle w:val="Hyperlink"/>
          <w:b/>
        </w:rPr>
        <w:t>5</w:t>
      </w:r>
      <w:r>
        <w:rPr>
          <w:rStyle w:val="Hyperlink"/>
          <w:b/>
        </w:rPr>
        <w:t xml:space="preserve"> – chapter </w:t>
      </w:r>
      <w:r w:rsidR="00E04C5D">
        <w:rPr>
          <w:rStyle w:val="Hyperlink"/>
          <w:b/>
        </w:rPr>
        <w:t>3</w:t>
      </w:r>
      <w:r>
        <w:rPr>
          <w:rStyle w:val="Hyperlink"/>
          <w:b/>
        </w:rPr>
        <w:t xml:space="preserve"> </w:t>
      </w:r>
      <w:r w:rsidRPr="008A4886">
        <w:rPr>
          <w:rStyle w:val="Hyperlink"/>
        </w:rPr>
        <w:t xml:space="preserve">– </w:t>
      </w:r>
      <w:r w:rsidR="00F20F31">
        <w:rPr>
          <w:rStyle w:val="Hyperlink"/>
        </w:rPr>
        <w:t>rules for scheme pipelines</w:t>
      </w:r>
      <w:r>
        <w:rPr>
          <w:rStyle w:val="Hyperlink"/>
        </w:rPr>
        <w:t xml:space="preserve"> </w:t>
      </w:r>
    </w:p>
    <w:tbl>
      <w:tblPr>
        <w:tblStyle w:val="TableGrid"/>
        <w:tblW w:w="15471"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7"/>
        <w:gridCol w:w="9934"/>
      </w:tblGrid>
      <w:tr w:rsidR="00BD065A" w:rsidRPr="0000465F" w14:paraId="39D917CF" w14:textId="77777777" w:rsidTr="00AC3CEB">
        <w:trPr>
          <w:trHeight w:val="503"/>
        </w:trPr>
        <w:tc>
          <w:tcPr>
            <w:tcW w:w="5537" w:type="dxa"/>
            <w:tcBorders>
              <w:top w:val="single" w:sz="18" w:space="0" w:color="00A8E5" w:themeColor="accent1"/>
              <w:right w:val="single" w:sz="2" w:space="0" w:color="58595B" w:themeColor="accent4"/>
            </w:tcBorders>
            <w:shd w:val="clear" w:color="auto" w:fill="F6F6F6"/>
          </w:tcPr>
          <w:p w14:paraId="7562FCB7" w14:textId="3C0491AE" w:rsidR="00BD065A" w:rsidRPr="0000465F" w:rsidRDefault="00F20F31" w:rsidP="005C55A2">
            <w:pPr>
              <w:pStyle w:val="AEMCTableBodyCopy"/>
              <w:numPr>
                <w:ilvl w:val="0"/>
                <w:numId w:val="6"/>
              </w:numPr>
              <w:rPr>
                <w:rStyle w:val="Hyperlink"/>
              </w:rPr>
            </w:pPr>
            <w:r>
              <w:t>Do you think Part 9 of the NGR should be amended to provide the regulator with additional guidance on how to assess service provider proposals to transition to natural gas equivalents in those cases where a jurisdiction does not mandate the transition? If so, please explain what changes you think need to be made and why.  </w:t>
            </w:r>
          </w:p>
        </w:tc>
        <w:tc>
          <w:tcPr>
            <w:tcW w:w="9934" w:type="dxa"/>
            <w:tcBorders>
              <w:top w:val="single" w:sz="18" w:space="0" w:color="00A8E5" w:themeColor="accent1"/>
              <w:left w:val="single" w:sz="2" w:space="0" w:color="58595B" w:themeColor="accent4"/>
            </w:tcBorders>
          </w:tcPr>
          <w:p w14:paraId="7185ECC4" w14:textId="77777777" w:rsidR="00BD065A" w:rsidRPr="00785222" w:rsidRDefault="00BD065A" w:rsidP="005C55A2">
            <w:pPr>
              <w:pStyle w:val="AEMCTableBodyCopy"/>
              <w:rPr>
                <w:rStyle w:val="Hyperlink"/>
              </w:rPr>
            </w:pPr>
          </w:p>
        </w:tc>
      </w:tr>
      <w:tr w:rsidR="00BD065A" w:rsidRPr="0000465F" w14:paraId="5B8364CA" w14:textId="77777777" w:rsidTr="00AC3CEB">
        <w:trPr>
          <w:trHeight w:val="690"/>
        </w:trPr>
        <w:tc>
          <w:tcPr>
            <w:tcW w:w="5537" w:type="dxa"/>
            <w:tcBorders>
              <w:right w:val="single" w:sz="2" w:space="0" w:color="58595B" w:themeColor="accent4"/>
            </w:tcBorders>
            <w:shd w:val="clear" w:color="auto" w:fill="F6F6F6"/>
          </w:tcPr>
          <w:p w14:paraId="58733CBC" w14:textId="5609B626" w:rsidR="00BD065A" w:rsidRPr="0000465F" w:rsidRDefault="00813365" w:rsidP="005C55A2">
            <w:pPr>
              <w:pStyle w:val="AEMCTableBodyCopy"/>
              <w:numPr>
                <w:ilvl w:val="0"/>
                <w:numId w:val="6"/>
              </w:numPr>
              <w:rPr>
                <w:rStyle w:val="Hyperlink"/>
              </w:rPr>
            </w:pPr>
            <w:r>
              <w:t>Do you think Part 9 of the NGR should be amended to clarify how government grants or funding are to be treated for regulatory purposes? </w:t>
            </w:r>
          </w:p>
        </w:tc>
        <w:tc>
          <w:tcPr>
            <w:tcW w:w="9934" w:type="dxa"/>
            <w:tcBorders>
              <w:left w:val="single" w:sz="2" w:space="0" w:color="58595B" w:themeColor="accent4"/>
            </w:tcBorders>
          </w:tcPr>
          <w:p w14:paraId="57EDDEA6" w14:textId="77777777" w:rsidR="00BD065A" w:rsidRPr="00785222" w:rsidRDefault="00BD065A" w:rsidP="005C55A2">
            <w:pPr>
              <w:pStyle w:val="AEMCTableBodyCopy"/>
              <w:rPr>
                <w:rStyle w:val="Hyperlink"/>
              </w:rPr>
            </w:pPr>
          </w:p>
        </w:tc>
      </w:tr>
      <w:tr w:rsidR="00BD065A" w:rsidRPr="0000465F" w14:paraId="09D570E6" w14:textId="77777777" w:rsidTr="00AC3CEB">
        <w:trPr>
          <w:trHeight w:val="690"/>
        </w:trPr>
        <w:tc>
          <w:tcPr>
            <w:tcW w:w="5537" w:type="dxa"/>
            <w:tcBorders>
              <w:right w:val="single" w:sz="2" w:space="0" w:color="58595B" w:themeColor="accent4"/>
            </w:tcBorders>
            <w:shd w:val="clear" w:color="auto" w:fill="F6F6F6"/>
          </w:tcPr>
          <w:p w14:paraId="5ABE7518" w14:textId="789A3348" w:rsidR="00BD065A" w:rsidRDefault="00813365" w:rsidP="005C55A2">
            <w:pPr>
              <w:pStyle w:val="AEMCTableBodyCopy"/>
              <w:numPr>
                <w:ilvl w:val="0"/>
                <w:numId w:val="6"/>
              </w:numPr>
            </w:pPr>
            <w:r>
              <w:t>Do you think any of the other rules that will apply to scheme pipelines under the new regulatory framework need to be amended to accommodate pipelines hauling natural gas equivalents or constituent gases?</w:t>
            </w:r>
          </w:p>
        </w:tc>
        <w:tc>
          <w:tcPr>
            <w:tcW w:w="9934" w:type="dxa"/>
            <w:tcBorders>
              <w:left w:val="single" w:sz="2" w:space="0" w:color="58595B" w:themeColor="accent4"/>
            </w:tcBorders>
          </w:tcPr>
          <w:p w14:paraId="579F0025" w14:textId="77777777" w:rsidR="00BD065A" w:rsidRPr="00785222" w:rsidRDefault="00BD065A" w:rsidP="005C55A2">
            <w:pPr>
              <w:pStyle w:val="AEMCTableBodyCopy"/>
              <w:rPr>
                <w:rStyle w:val="Hyperlink"/>
              </w:rPr>
            </w:pPr>
          </w:p>
        </w:tc>
      </w:tr>
    </w:tbl>
    <w:p w14:paraId="4FE1DED7" w14:textId="77777777" w:rsidR="004D39F0" w:rsidRDefault="004D39F0" w:rsidP="00813365">
      <w:pPr>
        <w:pStyle w:val="AEMCHeaderL4"/>
        <w:rPr>
          <w:rStyle w:val="Hyperlink"/>
          <w:b/>
        </w:rPr>
      </w:pPr>
    </w:p>
    <w:p w14:paraId="45005FD9" w14:textId="77777777" w:rsidR="004D39F0" w:rsidRDefault="004D39F0">
      <w:pPr>
        <w:spacing w:line="259" w:lineRule="auto"/>
        <w:rPr>
          <w:rStyle w:val="Hyperlink"/>
          <w:rFonts w:cs="Times New Roman (Body CS)"/>
          <w:b/>
          <w:caps/>
          <w:color w:val="00A8E5" w:themeColor="accent1"/>
          <w:sz w:val="22"/>
          <w:szCs w:val="24"/>
        </w:rPr>
      </w:pPr>
      <w:r>
        <w:rPr>
          <w:rStyle w:val="Hyperlink"/>
          <w:b/>
        </w:rPr>
        <w:br w:type="page"/>
      </w:r>
    </w:p>
    <w:p w14:paraId="2043488E" w14:textId="272EAF1B" w:rsidR="00813365" w:rsidRPr="008A4886" w:rsidRDefault="00813365" w:rsidP="00813365">
      <w:pPr>
        <w:pStyle w:val="AEMCHeaderL4"/>
        <w:rPr>
          <w:rStyle w:val="Hyperlink"/>
        </w:rPr>
      </w:pPr>
      <w:r>
        <w:rPr>
          <w:rStyle w:val="Hyperlink"/>
          <w:b/>
        </w:rPr>
        <w:lastRenderedPageBreak/>
        <w:t xml:space="preserve">Question </w:t>
      </w:r>
      <w:r w:rsidR="00E04C5D">
        <w:rPr>
          <w:rStyle w:val="Hyperlink"/>
          <w:b/>
        </w:rPr>
        <w:t>6</w:t>
      </w:r>
      <w:r>
        <w:rPr>
          <w:rStyle w:val="Hyperlink"/>
          <w:b/>
        </w:rPr>
        <w:t xml:space="preserve"> – chapter </w:t>
      </w:r>
      <w:r w:rsidR="00E04C5D">
        <w:rPr>
          <w:rStyle w:val="Hyperlink"/>
          <w:b/>
        </w:rPr>
        <w:t xml:space="preserve">3 </w:t>
      </w:r>
      <w:r w:rsidRPr="008A4886">
        <w:rPr>
          <w:rStyle w:val="Hyperlink"/>
        </w:rPr>
        <w:t xml:space="preserve">– </w:t>
      </w:r>
      <w:r>
        <w:rPr>
          <w:rStyle w:val="Hyperlink"/>
        </w:rPr>
        <w:t xml:space="preserve">rules for non-scheme pipelines </w:t>
      </w:r>
    </w:p>
    <w:tbl>
      <w:tblPr>
        <w:tblStyle w:val="TableGrid"/>
        <w:tblW w:w="1546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6"/>
        <w:gridCol w:w="9933"/>
      </w:tblGrid>
      <w:tr w:rsidR="00813365" w:rsidRPr="0000465F" w14:paraId="20A9C298" w14:textId="77777777" w:rsidTr="00AC3CEB">
        <w:trPr>
          <w:trHeight w:val="620"/>
        </w:trPr>
        <w:tc>
          <w:tcPr>
            <w:tcW w:w="5536" w:type="dxa"/>
            <w:tcBorders>
              <w:top w:val="single" w:sz="18" w:space="0" w:color="00A8E5" w:themeColor="accent1"/>
              <w:right w:val="single" w:sz="2" w:space="0" w:color="58595B" w:themeColor="accent4"/>
            </w:tcBorders>
            <w:shd w:val="clear" w:color="auto" w:fill="F6F6F6"/>
          </w:tcPr>
          <w:p w14:paraId="7D7F0BB5" w14:textId="01C6C41B" w:rsidR="00813365" w:rsidRDefault="001D735F" w:rsidP="005C55A2">
            <w:pPr>
              <w:pStyle w:val="AEMCTableBodyCopy"/>
              <w:numPr>
                <w:ilvl w:val="0"/>
                <w:numId w:val="6"/>
              </w:numPr>
              <w:rPr>
                <w:rStyle w:val="Hyperlink"/>
              </w:rPr>
            </w:pPr>
            <w:r>
              <w:rPr>
                <w:rStyle w:val="Hyperlink"/>
              </w:rPr>
              <w:t xml:space="preserve"> Do you think the arbitration princi</w:t>
            </w:r>
            <w:r w:rsidR="00D62376">
              <w:rPr>
                <w:rStyle w:val="Hyperlink"/>
              </w:rPr>
              <w:t>ple</w:t>
            </w:r>
            <w:r>
              <w:rPr>
                <w:rStyle w:val="Hyperlink"/>
              </w:rPr>
              <w:t>s applying to non-scheme pipelines</w:t>
            </w:r>
            <w:r w:rsidR="007A3EED">
              <w:rPr>
                <w:rStyle w:val="Hyperlink"/>
              </w:rPr>
              <w:t xml:space="preserve"> should be amended </w:t>
            </w:r>
            <w:proofErr w:type="gramStart"/>
            <w:r w:rsidR="007A3EED">
              <w:rPr>
                <w:rStyle w:val="Hyperlink"/>
              </w:rPr>
              <w:t>to:</w:t>
            </w:r>
            <w:proofErr w:type="gramEnd"/>
          </w:p>
          <w:p w14:paraId="67EACB13" w14:textId="160A592E" w:rsidR="007A3EED" w:rsidRDefault="004A4849" w:rsidP="007A3EED">
            <w:pPr>
              <w:pStyle w:val="AEMCTableBodyCopy"/>
              <w:numPr>
                <w:ilvl w:val="0"/>
                <w:numId w:val="12"/>
              </w:numPr>
              <w:rPr>
                <w:rStyle w:val="Hyperlink"/>
              </w:rPr>
            </w:pPr>
            <w:r>
              <w:rPr>
                <w:rStyle w:val="Hyperlink"/>
              </w:rPr>
              <w:t>r</w:t>
            </w:r>
            <w:r w:rsidR="00796D8B">
              <w:rPr>
                <w:rStyle w:val="Hyperlink"/>
              </w:rPr>
              <w:t xml:space="preserve">equire the arbitrator to </w:t>
            </w:r>
            <w:proofErr w:type="gramStart"/>
            <w:r w:rsidR="00796D8B">
              <w:rPr>
                <w:rStyle w:val="Hyperlink"/>
              </w:rPr>
              <w:t>take into account</w:t>
            </w:r>
            <w:proofErr w:type="gramEnd"/>
            <w:r w:rsidR="00796D8B">
              <w:rPr>
                <w:rStyle w:val="Hyperlink"/>
              </w:rPr>
              <w:t xml:space="preserve"> any regulatory obligation </w:t>
            </w:r>
            <w:r>
              <w:rPr>
                <w:rStyle w:val="Hyperlink"/>
              </w:rPr>
              <w:t xml:space="preserve">that </w:t>
            </w:r>
            <w:r w:rsidR="00796D8B">
              <w:rPr>
                <w:rStyle w:val="Hyperlink"/>
              </w:rPr>
              <w:t xml:space="preserve">a </w:t>
            </w:r>
            <w:proofErr w:type="spellStart"/>
            <w:r w:rsidR="00796D8B">
              <w:rPr>
                <w:rStyle w:val="Hyperlink"/>
              </w:rPr>
              <w:t>pipline</w:t>
            </w:r>
            <w:proofErr w:type="spellEnd"/>
            <w:r w:rsidR="00796D8B">
              <w:rPr>
                <w:rStyle w:val="Hyperlink"/>
              </w:rPr>
              <w:t xml:space="preserve"> may be subject to?</w:t>
            </w:r>
          </w:p>
          <w:p w14:paraId="1C279293" w14:textId="77777777" w:rsidR="00796D8B" w:rsidRDefault="00ED6F78" w:rsidP="007A3EED">
            <w:pPr>
              <w:pStyle w:val="AEMCTableBodyCopy"/>
              <w:numPr>
                <w:ilvl w:val="0"/>
                <w:numId w:val="12"/>
              </w:numPr>
            </w:pPr>
            <w:r>
              <w:t>provide the arbitrator with greater guidance on how to assess proposals by a service provider to transition </w:t>
            </w:r>
            <w:proofErr w:type="gramStart"/>
            <w:r>
              <w:t>to transporting</w:t>
            </w:r>
            <w:proofErr w:type="gramEnd"/>
            <w:r>
              <w:t> a natural gas equivalent where the transition is not mandated? </w:t>
            </w:r>
          </w:p>
          <w:p w14:paraId="5043411B" w14:textId="2EAFA485" w:rsidR="00ED6F78" w:rsidRPr="0000465F" w:rsidRDefault="00ED6F78" w:rsidP="007A3EED">
            <w:pPr>
              <w:pStyle w:val="AEMCTableBodyCopy"/>
              <w:numPr>
                <w:ilvl w:val="0"/>
                <w:numId w:val="12"/>
              </w:numPr>
              <w:rPr>
                <w:rStyle w:val="Hyperlink"/>
              </w:rPr>
            </w:pPr>
            <w:r>
              <w:t>clarify how government grants are to be treated? </w:t>
            </w:r>
          </w:p>
        </w:tc>
        <w:tc>
          <w:tcPr>
            <w:tcW w:w="9933" w:type="dxa"/>
            <w:tcBorders>
              <w:top w:val="single" w:sz="18" w:space="0" w:color="00A8E5" w:themeColor="accent1"/>
              <w:left w:val="single" w:sz="2" w:space="0" w:color="58595B" w:themeColor="accent4"/>
            </w:tcBorders>
          </w:tcPr>
          <w:p w14:paraId="3F259AA0" w14:textId="77777777" w:rsidR="00813365" w:rsidRPr="00785222" w:rsidRDefault="00813365" w:rsidP="005C55A2">
            <w:pPr>
              <w:pStyle w:val="AEMCTableBodyCopy"/>
              <w:rPr>
                <w:rStyle w:val="Hyperlink"/>
              </w:rPr>
            </w:pPr>
          </w:p>
        </w:tc>
      </w:tr>
      <w:tr w:rsidR="00813365" w:rsidRPr="0000465F" w14:paraId="4651F84D" w14:textId="77777777" w:rsidTr="00AC3CEB">
        <w:trPr>
          <w:trHeight w:val="850"/>
        </w:trPr>
        <w:tc>
          <w:tcPr>
            <w:tcW w:w="5536" w:type="dxa"/>
            <w:tcBorders>
              <w:right w:val="single" w:sz="2" w:space="0" w:color="58595B" w:themeColor="accent4"/>
            </w:tcBorders>
            <w:shd w:val="clear" w:color="auto" w:fill="F6F6F6"/>
          </w:tcPr>
          <w:p w14:paraId="2B9B0C39" w14:textId="7D8F5529" w:rsidR="00813365" w:rsidRPr="0000465F" w:rsidRDefault="00ED6F78" w:rsidP="005C55A2">
            <w:pPr>
              <w:pStyle w:val="AEMCTableBodyCopy"/>
              <w:numPr>
                <w:ilvl w:val="0"/>
                <w:numId w:val="6"/>
              </w:numPr>
              <w:rPr>
                <w:rStyle w:val="Hyperlink"/>
              </w:rPr>
            </w:pPr>
            <w:r>
              <w:t>Do you think any of the other rules that will apply to non-scheme pipelines under the new regulatory framework need to be amended to accommodate pipelines hauling natural gas equivalents or constituent gases? </w:t>
            </w:r>
          </w:p>
        </w:tc>
        <w:tc>
          <w:tcPr>
            <w:tcW w:w="9933" w:type="dxa"/>
            <w:tcBorders>
              <w:left w:val="single" w:sz="2" w:space="0" w:color="58595B" w:themeColor="accent4"/>
            </w:tcBorders>
          </w:tcPr>
          <w:p w14:paraId="7630B9B9" w14:textId="77777777" w:rsidR="00813365" w:rsidRPr="00785222" w:rsidRDefault="00813365" w:rsidP="005C55A2">
            <w:pPr>
              <w:pStyle w:val="AEMCTableBodyCopy"/>
              <w:rPr>
                <w:rStyle w:val="Hyperlink"/>
              </w:rPr>
            </w:pPr>
          </w:p>
        </w:tc>
      </w:tr>
    </w:tbl>
    <w:p w14:paraId="0B000103" w14:textId="32FDF78C" w:rsidR="00132596" w:rsidRPr="008A4886" w:rsidRDefault="00132596" w:rsidP="00132596">
      <w:pPr>
        <w:pStyle w:val="AEMCHeaderL4"/>
        <w:rPr>
          <w:rStyle w:val="Hyperlink"/>
        </w:rPr>
      </w:pPr>
      <w:r>
        <w:rPr>
          <w:rStyle w:val="Hyperlink"/>
          <w:b/>
        </w:rPr>
        <w:t xml:space="preserve">Question </w:t>
      </w:r>
      <w:r w:rsidR="00E04C5D">
        <w:rPr>
          <w:rStyle w:val="Hyperlink"/>
          <w:b/>
        </w:rPr>
        <w:t>7</w:t>
      </w:r>
      <w:r>
        <w:rPr>
          <w:rStyle w:val="Hyperlink"/>
          <w:b/>
        </w:rPr>
        <w:t xml:space="preserve"> – chapter </w:t>
      </w:r>
      <w:r w:rsidR="00E04C5D">
        <w:rPr>
          <w:rStyle w:val="Hyperlink"/>
          <w:b/>
        </w:rPr>
        <w:t>3</w:t>
      </w:r>
      <w:r>
        <w:rPr>
          <w:rStyle w:val="Hyperlink"/>
          <w:b/>
        </w:rPr>
        <w:t xml:space="preserve"> </w:t>
      </w:r>
      <w:r w:rsidRPr="008A4886">
        <w:rPr>
          <w:rStyle w:val="Hyperlink"/>
        </w:rPr>
        <w:t xml:space="preserve">– </w:t>
      </w:r>
      <w:r>
        <w:rPr>
          <w:rStyle w:val="Hyperlink"/>
        </w:rPr>
        <w:t xml:space="preserve">pipeline gas information </w:t>
      </w:r>
    </w:p>
    <w:tbl>
      <w:tblPr>
        <w:tblStyle w:val="TableGrid"/>
        <w:tblW w:w="15472"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7"/>
        <w:gridCol w:w="9935"/>
      </w:tblGrid>
      <w:tr w:rsidR="00132596" w:rsidRPr="0000465F" w14:paraId="62F0541F" w14:textId="77777777" w:rsidTr="00AC3CEB">
        <w:trPr>
          <w:trHeight w:val="1762"/>
        </w:trPr>
        <w:tc>
          <w:tcPr>
            <w:tcW w:w="5537" w:type="dxa"/>
            <w:tcBorders>
              <w:top w:val="single" w:sz="18" w:space="0" w:color="00A8E5" w:themeColor="accent1"/>
              <w:right w:val="single" w:sz="2" w:space="0" w:color="58595B" w:themeColor="accent4"/>
            </w:tcBorders>
            <w:shd w:val="clear" w:color="auto" w:fill="F6F6F6"/>
          </w:tcPr>
          <w:p w14:paraId="4E401AD1" w14:textId="77777777" w:rsidR="00132596" w:rsidRDefault="00B65E47" w:rsidP="005C55A2">
            <w:pPr>
              <w:pStyle w:val="AEMCTableBodyCopy"/>
              <w:numPr>
                <w:ilvl w:val="0"/>
                <w:numId w:val="6"/>
              </w:numPr>
            </w:pPr>
            <w:r>
              <w:t xml:space="preserve">Do you think service providers should be required to publish information </w:t>
            </w:r>
            <w:proofErr w:type="gramStart"/>
            <w:r>
              <w:t>on:</w:t>
            </w:r>
            <w:proofErr w:type="gramEnd"/>
          </w:p>
          <w:p w14:paraId="3F0E0200" w14:textId="3A347481" w:rsidR="00B65E47" w:rsidRDefault="00524174" w:rsidP="00B65E47">
            <w:pPr>
              <w:pStyle w:val="AEMCTableBodyCopy"/>
              <w:numPr>
                <w:ilvl w:val="0"/>
                <w:numId w:val="13"/>
              </w:numPr>
            </w:pPr>
            <w:r>
              <w:t>t</w:t>
            </w:r>
            <w:r w:rsidR="00B65E47">
              <w:t>he type of gas they are licensed to transport in their user access guides and, in the case of scheme pipelines, the access arrangement and access arrangement information? Why?</w:t>
            </w:r>
          </w:p>
          <w:p w14:paraId="1A337D20" w14:textId="37CB75A7" w:rsidR="00B65E47" w:rsidRPr="0000465F" w:rsidRDefault="00F62EAB" w:rsidP="00B65E47">
            <w:pPr>
              <w:pStyle w:val="AEMCTableBodyCopy"/>
              <w:numPr>
                <w:ilvl w:val="0"/>
                <w:numId w:val="13"/>
              </w:numPr>
              <w:rPr>
                <w:rStyle w:val="Hyperlink"/>
              </w:rPr>
            </w:pPr>
            <w:r>
              <w:t>a</w:t>
            </w:r>
            <w:r w:rsidR="00B65E47">
              <w:t>ny firm plans to conduct either a trial or to transition the pipeline (or part of the pipeline) to a natural gas equivalent or other gas product? Why?</w:t>
            </w:r>
          </w:p>
        </w:tc>
        <w:tc>
          <w:tcPr>
            <w:tcW w:w="9935" w:type="dxa"/>
            <w:tcBorders>
              <w:top w:val="single" w:sz="18" w:space="0" w:color="00A8E5" w:themeColor="accent1"/>
              <w:left w:val="single" w:sz="2" w:space="0" w:color="58595B" w:themeColor="accent4"/>
            </w:tcBorders>
          </w:tcPr>
          <w:p w14:paraId="4453EE78" w14:textId="77777777" w:rsidR="00132596" w:rsidRPr="00785222" w:rsidRDefault="00132596" w:rsidP="005C55A2">
            <w:pPr>
              <w:pStyle w:val="AEMCTableBodyCopy"/>
              <w:rPr>
                <w:rStyle w:val="Hyperlink"/>
              </w:rPr>
            </w:pPr>
          </w:p>
        </w:tc>
      </w:tr>
      <w:tr w:rsidR="00132596" w:rsidRPr="0000465F" w14:paraId="5EDEC44A" w14:textId="77777777" w:rsidTr="00AC3CEB">
        <w:trPr>
          <w:trHeight w:val="493"/>
        </w:trPr>
        <w:tc>
          <w:tcPr>
            <w:tcW w:w="5537" w:type="dxa"/>
            <w:tcBorders>
              <w:right w:val="single" w:sz="2" w:space="0" w:color="58595B" w:themeColor="accent4"/>
            </w:tcBorders>
            <w:shd w:val="clear" w:color="auto" w:fill="F6F6F6"/>
          </w:tcPr>
          <w:p w14:paraId="38D823FF" w14:textId="06F134B6" w:rsidR="00132596" w:rsidRPr="0000465F" w:rsidRDefault="003A2475" w:rsidP="005C55A2">
            <w:pPr>
              <w:pStyle w:val="AEMCTableBodyCopy"/>
              <w:numPr>
                <w:ilvl w:val="0"/>
                <w:numId w:val="6"/>
              </w:numPr>
              <w:rPr>
                <w:rStyle w:val="Hyperlink"/>
              </w:rPr>
            </w:pPr>
            <w:r>
              <w:t>Do you think this information should also be reported on the AEMC’s Pipeline Register? </w:t>
            </w:r>
          </w:p>
        </w:tc>
        <w:tc>
          <w:tcPr>
            <w:tcW w:w="9935" w:type="dxa"/>
            <w:tcBorders>
              <w:left w:val="single" w:sz="2" w:space="0" w:color="58595B" w:themeColor="accent4"/>
            </w:tcBorders>
          </w:tcPr>
          <w:p w14:paraId="56E9B558" w14:textId="77777777" w:rsidR="00132596" w:rsidRPr="00785222" w:rsidRDefault="00132596" w:rsidP="005C55A2">
            <w:pPr>
              <w:pStyle w:val="AEMCTableBodyCopy"/>
              <w:rPr>
                <w:rStyle w:val="Hyperlink"/>
              </w:rPr>
            </w:pPr>
          </w:p>
        </w:tc>
      </w:tr>
    </w:tbl>
    <w:p w14:paraId="0C0B2116" w14:textId="77777777" w:rsidR="004D39F0" w:rsidRDefault="004D39F0" w:rsidP="00524174">
      <w:pPr>
        <w:pStyle w:val="AEMCHeaderL4"/>
        <w:rPr>
          <w:rStyle w:val="Hyperlink"/>
          <w:b/>
        </w:rPr>
      </w:pPr>
    </w:p>
    <w:p w14:paraId="1D4F5454" w14:textId="77777777" w:rsidR="004D39F0" w:rsidRDefault="004D39F0">
      <w:pPr>
        <w:spacing w:line="259" w:lineRule="auto"/>
        <w:rPr>
          <w:rStyle w:val="Hyperlink"/>
          <w:rFonts w:cs="Times New Roman (Body CS)"/>
          <w:b/>
          <w:caps/>
          <w:color w:val="00A8E5" w:themeColor="accent1"/>
          <w:sz w:val="22"/>
          <w:szCs w:val="24"/>
        </w:rPr>
      </w:pPr>
      <w:r>
        <w:rPr>
          <w:rStyle w:val="Hyperlink"/>
          <w:b/>
        </w:rPr>
        <w:br w:type="page"/>
      </w:r>
    </w:p>
    <w:p w14:paraId="70789142" w14:textId="4E99D29B" w:rsidR="00524174" w:rsidRPr="008A4886" w:rsidRDefault="00524174" w:rsidP="00524174">
      <w:pPr>
        <w:pStyle w:val="AEMCHeaderL4"/>
        <w:rPr>
          <w:rStyle w:val="Hyperlink"/>
        </w:rPr>
      </w:pPr>
      <w:r>
        <w:rPr>
          <w:rStyle w:val="Hyperlink"/>
          <w:b/>
        </w:rPr>
        <w:lastRenderedPageBreak/>
        <w:t xml:space="preserve">Question </w:t>
      </w:r>
      <w:r w:rsidR="00E04C5D">
        <w:rPr>
          <w:rStyle w:val="Hyperlink"/>
          <w:b/>
        </w:rPr>
        <w:t>8</w:t>
      </w:r>
      <w:r>
        <w:rPr>
          <w:rStyle w:val="Hyperlink"/>
          <w:b/>
        </w:rPr>
        <w:t xml:space="preserve"> – chapter </w:t>
      </w:r>
      <w:r w:rsidR="00E04C5D">
        <w:rPr>
          <w:rStyle w:val="Hyperlink"/>
          <w:b/>
        </w:rPr>
        <w:t>4</w:t>
      </w:r>
      <w:r>
        <w:rPr>
          <w:rStyle w:val="Hyperlink"/>
          <w:b/>
        </w:rPr>
        <w:t xml:space="preserve"> </w:t>
      </w:r>
      <w:r w:rsidRPr="008A4886">
        <w:rPr>
          <w:rStyle w:val="Hyperlink"/>
        </w:rPr>
        <w:t xml:space="preserve">– </w:t>
      </w:r>
      <w:r>
        <w:rPr>
          <w:rStyle w:val="Hyperlink"/>
        </w:rPr>
        <w:t>extensio</w:t>
      </w:r>
      <w:r w:rsidR="00E21EA1">
        <w:rPr>
          <w:rStyle w:val="Hyperlink"/>
        </w:rPr>
        <w:t>n</w:t>
      </w:r>
      <w:r>
        <w:rPr>
          <w:rStyle w:val="Hyperlink"/>
        </w:rPr>
        <w:t xml:space="preserve"> of </w:t>
      </w:r>
      <w:r w:rsidR="006C39DB">
        <w:rPr>
          <w:rStyle w:val="Hyperlink"/>
        </w:rPr>
        <w:t xml:space="preserve">The </w:t>
      </w:r>
      <w:r>
        <w:rPr>
          <w:rStyle w:val="Hyperlink"/>
        </w:rPr>
        <w:t xml:space="preserve">transparency mechanisms to natural gas equivalents </w:t>
      </w:r>
    </w:p>
    <w:tbl>
      <w:tblPr>
        <w:tblStyle w:val="TableGrid"/>
        <w:tblW w:w="15450"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29"/>
        <w:gridCol w:w="9921"/>
      </w:tblGrid>
      <w:tr w:rsidR="00524174" w:rsidRPr="0000465F" w14:paraId="38D9DF61" w14:textId="77777777" w:rsidTr="00AC3CEB">
        <w:trPr>
          <w:trHeight w:val="1342"/>
        </w:trPr>
        <w:tc>
          <w:tcPr>
            <w:tcW w:w="5529" w:type="dxa"/>
            <w:tcBorders>
              <w:top w:val="single" w:sz="18" w:space="0" w:color="00A8E5" w:themeColor="accent1"/>
              <w:right w:val="single" w:sz="2" w:space="0" w:color="58595B" w:themeColor="accent4"/>
            </w:tcBorders>
            <w:shd w:val="clear" w:color="auto" w:fill="F6F6F6"/>
          </w:tcPr>
          <w:p w14:paraId="5C697D3F" w14:textId="5260454F" w:rsidR="00524174" w:rsidRDefault="00730AFF" w:rsidP="005C55A2">
            <w:pPr>
              <w:pStyle w:val="AEMCTableBodyCopy"/>
              <w:numPr>
                <w:ilvl w:val="0"/>
                <w:numId w:val="6"/>
              </w:numPr>
            </w:pPr>
            <w:r>
              <w:t>Except for blending facilities are there any other facilities or activities involved in the supply or use of natural gas equivalents that are not already captured by</w:t>
            </w:r>
            <w:r w:rsidR="00524174">
              <w:t>:</w:t>
            </w:r>
          </w:p>
          <w:p w14:paraId="1D24263C" w14:textId="1549D6A2" w:rsidR="00730AFF" w:rsidRDefault="00730AFF" w:rsidP="005C55A2">
            <w:pPr>
              <w:pStyle w:val="AEMCTableBodyCopy"/>
              <w:numPr>
                <w:ilvl w:val="0"/>
                <w:numId w:val="13"/>
              </w:numPr>
            </w:pPr>
            <w:r>
              <w:t>the BB facilities listed in rule 141 of Part 18 of the NGR?</w:t>
            </w:r>
          </w:p>
          <w:p w14:paraId="771158F1" w14:textId="2A0C7980" w:rsidR="00524174" w:rsidRPr="0000465F" w:rsidRDefault="00291D82" w:rsidP="005C55A2">
            <w:pPr>
              <w:pStyle w:val="AEMCTableBodyCopy"/>
              <w:numPr>
                <w:ilvl w:val="0"/>
                <w:numId w:val="13"/>
              </w:numPr>
              <w:rPr>
                <w:rStyle w:val="Hyperlink"/>
              </w:rPr>
            </w:pPr>
            <w:r>
              <w:t>the DWGM registration categories in rule 135A of Part 15A of the NGR?</w:t>
            </w:r>
          </w:p>
        </w:tc>
        <w:tc>
          <w:tcPr>
            <w:tcW w:w="9921" w:type="dxa"/>
            <w:tcBorders>
              <w:top w:val="single" w:sz="18" w:space="0" w:color="00A8E5" w:themeColor="accent1"/>
              <w:left w:val="single" w:sz="2" w:space="0" w:color="58595B" w:themeColor="accent4"/>
            </w:tcBorders>
          </w:tcPr>
          <w:p w14:paraId="6F8E1573" w14:textId="77777777" w:rsidR="00524174" w:rsidRPr="00785222" w:rsidRDefault="00524174" w:rsidP="005C55A2">
            <w:pPr>
              <w:pStyle w:val="AEMCTableBodyCopy"/>
              <w:rPr>
                <w:rStyle w:val="Hyperlink"/>
              </w:rPr>
            </w:pPr>
          </w:p>
        </w:tc>
      </w:tr>
      <w:tr w:rsidR="00524174" w:rsidRPr="0000465F" w14:paraId="65C414E1" w14:textId="77777777" w:rsidTr="00AC3CEB">
        <w:trPr>
          <w:trHeight w:val="697"/>
        </w:trPr>
        <w:tc>
          <w:tcPr>
            <w:tcW w:w="5529" w:type="dxa"/>
            <w:tcBorders>
              <w:right w:val="single" w:sz="2" w:space="0" w:color="58595B" w:themeColor="accent4"/>
            </w:tcBorders>
            <w:shd w:val="clear" w:color="auto" w:fill="F6F6F6"/>
          </w:tcPr>
          <w:p w14:paraId="22959C39" w14:textId="77777777" w:rsidR="00524174" w:rsidRDefault="00291D82" w:rsidP="005C55A2">
            <w:pPr>
              <w:pStyle w:val="AEMCTableBodyCopy"/>
              <w:numPr>
                <w:ilvl w:val="0"/>
                <w:numId w:val="6"/>
              </w:numPr>
            </w:pPr>
            <w:r>
              <w:t>If the information to be reported by facilities involved in the production, transportation, storage, compression and or use of natural gas equivalents is to be based on the information reported by their natural gas counterparts, are any amendments required to reflect differences in the physical characteristics of these facilities compared to natural gas facilities for:  </w:t>
            </w:r>
          </w:p>
          <w:p w14:paraId="4179E006" w14:textId="32AD14BE" w:rsidR="00291D82" w:rsidRDefault="00120C6A" w:rsidP="00291D82">
            <w:pPr>
              <w:pStyle w:val="AEMCTableBodyCopy"/>
              <w:numPr>
                <w:ilvl w:val="0"/>
                <w:numId w:val="14"/>
              </w:numPr>
            </w:pPr>
            <w:r>
              <w:t>t</w:t>
            </w:r>
            <w:r w:rsidR="00AC7C24">
              <w:t>he Bulletin Board reporting obligations in Part 18 of the NGR?</w:t>
            </w:r>
          </w:p>
          <w:p w14:paraId="3F4D41E8" w14:textId="3E700E23" w:rsidR="00AC7C24" w:rsidRDefault="00120C6A" w:rsidP="00291D82">
            <w:pPr>
              <w:pStyle w:val="AEMCTableBodyCopy"/>
              <w:numPr>
                <w:ilvl w:val="0"/>
                <w:numId w:val="14"/>
              </w:numPr>
            </w:pPr>
            <w:r>
              <w:t>t</w:t>
            </w:r>
            <w:r w:rsidR="00AC7C24">
              <w:t>he GSOO content in rule 135KB of Part 15D of the NGR?</w:t>
            </w:r>
          </w:p>
          <w:p w14:paraId="0B555BB4" w14:textId="77777777" w:rsidR="00AC7C24" w:rsidRDefault="00AC7C24" w:rsidP="00291D82">
            <w:pPr>
              <w:pStyle w:val="AEMCTableBodyCopy"/>
              <w:numPr>
                <w:ilvl w:val="0"/>
                <w:numId w:val="14"/>
              </w:numPr>
            </w:pPr>
            <w:r>
              <w:t>rules 323-324 in Part 19 of the NGR?</w:t>
            </w:r>
          </w:p>
          <w:p w14:paraId="0787BA77" w14:textId="77777777" w:rsidR="00AC7C24" w:rsidRDefault="00AC7C24" w:rsidP="00291D82">
            <w:pPr>
              <w:pStyle w:val="AEMCTableBodyCopy"/>
              <w:numPr>
                <w:ilvl w:val="0"/>
                <w:numId w:val="14"/>
              </w:numPr>
            </w:pPr>
            <w:r>
              <w:t>the compression and storage reporting obligations in Part 18A of the NGR?</w:t>
            </w:r>
          </w:p>
          <w:p w14:paraId="195B56CB" w14:textId="07E16C15" w:rsidR="00120C6A" w:rsidRPr="0000465F" w:rsidRDefault="00120C6A" w:rsidP="00F907E8">
            <w:pPr>
              <w:pStyle w:val="AEMCTableBodyCopy"/>
              <w:numPr>
                <w:ilvl w:val="0"/>
                <w:numId w:val="14"/>
              </w:numPr>
              <w:rPr>
                <w:rStyle w:val="Hyperlink"/>
              </w:rPr>
            </w:pPr>
            <w:r>
              <w:t>the price information to be published by the AER in proposed rule 140B in Part 17 of the NGR?</w:t>
            </w:r>
          </w:p>
        </w:tc>
        <w:tc>
          <w:tcPr>
            <w:tcW w:w="9921" w:type="dxa"/>
            <w:tcBorders>
              <w:left w:val="single" w:sz="2" w:space="0" w:color="58595B" w:themeColor="accent4"/>
            </w:tcBorders>
          </w:tcPr>
          <w:p w14:paraId="601D7951" w14:textId="77777777" w:rsidR="00524174" w:rsidRPr="00785222" w:rsidRDefault="00524174" w:rsidP="005C55A2">
            <w:pPr>
              <w:pStyle w:val="AEMCTableBodyCopy"/>
              <w:rPr>
                <w:rStyle w:val="Hyperlink"/>
              </w:rPr>
            </w:pPr>
          </w:p>
        </w:tc>
      </w:tr>
      <w:tr w:rsidR="006A5FA1" w:rsidRPr="0000465F" w14:paraId="49F93059" w14:textId="77777777" w:rsidTr="00AC3CEB">
        <w:trPr>
          <w:trHeight w:val="697"/>
        </w:trPr>
        <w:tc>
          <w:tcPr>
            <w:tcW w:w="5529" w:type="dxa"/>
            <w:tcBorders>
              <w:right w:val="single" w:sz="2" w:space="0" w:color="58595B" w:themeColor="accent4"/>
            </w:tcBorders>
            <w:shd w:val="clear" w:color="auto" w:fill="F6F6F6"/>
          </w:tcPr>
          <w:p w14:paraId="280665F3" w14:textId="3140CFCC" w:rsidR="006A5FA1" w:rsidRDefault="006A5FA1" w:rsidP="006A5FA1">
            <w:pPr>
              <w:pStyle w:val="AEMCTableBodyCopyNumbers"/>
            </w:pPr>
            <w:r>
              <w:t>Should blending facilities be treated as production facilities for the purposes of the Bulletin Board, GSOO and VGPR, or should specific reporting obligations be developed for these facilities? Why? If you think specific reporting obligations are required, what should these be?  </w:t>
            </w:r>
          </w:p>
        </w:tc>
        <w:tc>
          <w:tcPr>
            <w:tcW w:w="9921" w:type="dxa"/>
            <w:tcBorders>
              <w:left w:val="single" w:sz="2" w:space="0" w:color="58595B" w:themeColor="accent4"/>
            </w:tcBorders>
          </w:tcPr>
          <w:p w14:paraId="1881E349" w14:textId="77777777" w:rsidR="006A5FA1" w:rsidRPr="00785222" w:rsidRDefault="006A5FA1" w:rsidP="005C55A2">
            <w:pPr>
              <w:pStyle w:val="AEMCTableBodyCopy"/>
              <w:rPr>
                <w:rStyle w:val="Hyperlink"/>
              </w:rPr>
            </w:pPr>
          </w:p>
        </w:tc>
      </w:tr>
      <w:tr w:rsidR="006A5FA1" w:rsidRPr="0000465F" w14:paraId="5F58F8BC" w14:textId="77777777" w:rsidTr="00AC3CEB">
        <w:trPr>
          <w:trHeight w:val="697"/>
        </w:trPr>
        <w:tc>
          <w:tcPr>
            <w:tcW w:w="5529" w:type="dxa"/>
            <w:tcBorders>
              <w:right w:val="single" w:sz="2" w:space="0" w:color="58595B" w:themeColor="accent4"/>
            </w:tcBorders>
            <w:shd w:val="clear" w:color="auto" w:fill="F6F6F6"/>
          </w:tcPr>
          <w:p w14:paraId="28150EA0" w14:textId="734B3B81" w:rsidR="006A5FA1" w:rsidRDefault="006A5FA1" w:rsidP="006A5FA1">
            <w:pPr>
              <w:pStyle w:val="AEMCTableBodyCopyNumbers"/>
            </w:pPr>
            <w:r>
              <w:t>Are there any other gaps in the NGR that have not been identified that would need to be addressed if the five transparency mechanisms were to be extended to natural gas equivalents? Why? If you think there are other issues, what are they and what amendments are needed?</w:t>
            </w:r>
          </w:p>
        </w:tc>
        <w:tc>
          <w:tcPr>
            <w:tcW w:w="9921" w:type="dxa"/>
            <w:tcBorders>
              <w:left w:val="single" w:sz="2" w:space="0" w:color="58595B" w:themeColor="accent4"/>
            </w:tcBorders>
          </w:tcPr>
          <w:p w14:paraId="4ADEC5D9" w14:textId="77777777" w:rsidR="006A5FA1" w:rsidRPr="00785222" w:rsidRDefault="006A5FA1" w:rsidP="005C55A2">
            <w:pPr>
              <w:pStyle w:val="AEMCTableBodyCopy"/>
              <w:rPr>
                <w:rStyle w:val="Hyperlink"/>
              </w:rPr>
            </w:pPr>
          </w:p>
        </w:tc>
      </w:tr>
    </w:tbl>
    <w:p w14:paraId="133BA81F" w14:textId="1723FAFE" w:rsidR="00F907E8" w:rsidRPr="00F907E8" w:rsidRDefault="00F907E8" w:rsidP="00F907E8">
      <w:pPr>
        <w:spacing w:line="259" w:lineRule="auto"/>
        <w:rPr>
          <w:rStyle w:val="Hyperlink"/>
          <w:rFonts w:cs="Times New Roman (Body CS)"/>
          <w:b/>
          <w:caps/>
          <w:color w:val="00A8E5" w:themeColor="accent1"/>
          <w:sz w:val="22"/>
          <w:szCs w:val="24"/>
        </w:rPr>
      </w:pPr>
      <w:r>
        <w:rPr>
          <w:rStyle w:val="Hyperlink"/>
          <w:b/>
        </w:rPr>
        <w:br w:type="page"/>
      </w:r>
    </w:p>
    <w:p w14:paraId="30156A95" w14:textId="303838B8" w:rsidR="008814B8" w:rsidRPr="008A4886" w:rsidRDefault="00165A73" w:rsidP="008814B8">
      <w:pPr>
        <w:pStyle w:val="AEMCHeaderL4"/>
        <w:rPr>
          <w:rStyle w:val="Hyperlink"/>
        </w:rPr>
      </w:pPr>
      <w:r>
        <w:rPr>
          <w:rStyle w:val="Hyperlink"/>
          <w:b/>
        </w:rPr>
        <w:lastRenderedPageBreak/>
        <w:t xml:space="preserve">Question </w:t>
      </w:r>
      <w:r w:rsidR="00E04C5D">
        <w:rPr>
          <w:rStyle w:val="Hyperlink"/>
          <w:b/>
        </w:rPr>
        <w:t>9</w:t>
      </w:r>
      <w:r>
        <w:rPr>
          <w:rStyle w:val="Hyperlink"/>
          <w:b/>
        </w:rPr>
        <w:t xml:space="preserve"> - </w:t>
      </w:r>
      <w:r w:rsidR="008814B8" w:rsidRPr="008A4886">
        <w:rPr>
          <w:rStyle w:val="Hyperlink"/>
          <w:b/>
        </w:rPr>
        <w:t xml:space="preserve">CHAPTER </w:t>
      </w:r>
      <w:r w:rsidR="00245C36">
        <w:rPr>
          <w:rStyle w:val="Hyperlink"/>
          <w:b/>
        </w:rPr>
        <w:t>4</w:t>
      </w:r>
      <w:r w:rsidR="008814B8" w:rsidRPr="008A4886">
        <w:rPr>
          <w:rStyle w:val="Hyperlink"/>
        </w:rPr>
        <w:t xml:space="preserve"> –</w:t>
      </w:r>
      <w:r w:rsidR="008814B8">
        <w:rPr>
          <w:rStyle w:val="Hyperlink"/>
        </w:rPr>
        <w:t xml:space="preserve"> </w:t>
      </w:r>
      <w:r w:rsidR="0014387F">
        <w:rPr>
          <w:rStyle w:val="Hyperlink"/>
        </w:rPr>
        <w:t>E</w:t>
      </w:r>
      <w:r>
        <w:rPr>
          <w:rStyle w:val="Hyperlink"/>
        </w:rPr>
        <w:t xml:space="preserve">xtension of </w:t>
      </w:r>
      <w:r w:rsidR="005213C6">
        <w:rPr>
          <w:rStyle w:val="Hyperlink"/>
        </w:rPr>
        <w:t xml:space="preserve">the </w:t>
      </w:r>
      <w:r>
        <w:rPr>
          <w:rStyle w:val="Hyperlink"/>
        </w:rPr>
        <w:t>tran</w:t>
      </w:r>
      <w:r w:rsidR="00415679">
        <w:rPr>
          <w:rStyle w:val="Hyperlink"/>
        </w:rPr>
        <w:t>s</w:t>
      </w:r>
      <w:r>
        <w:rPr>
          <w:rStyle w:val="Hyperlink"/>
        </w:rPr>
        <w:t>parency mech</w:t>
      </w:r>
      <w:r w:rsidR="00415679">
        <w:rPr>
          <w:rStyle w:val="Hyperlink"/>
        </w:rPr>
        <w:t>a</w:t>
      </w:r>
      <w:r>
        <w:rPr>
          <w:rStyle w:val="Hyperlink"/>
        </w:rPr>
        <w:t>nism</w:t>
      </w:r>
      <w:r w:rsidR="00415679">
        <w:rPr>
          <w:rStyle w:val="Hyperlink"/>
        </w:rPr>
        <w:t>s</w:t>
      </w:r>
      <w:r>
        <w:rPr>
          <w:rStyle w:val="Hyperlink"/>
        </w:rPr>
        <w:t xml:space="preserve"> to consti</w:t>
      </w:r>
      <w:r w:rsidR="008E28FC">
        <w:rPr>
          <w:rStyle w:val="Hyperlink"/>
        </w:rPr>
        <w:t xml:space="preserve">tuent gases </w:t>
      </w:r>
    </w:p>
    <w:tbl>
      <w:tblPr>
        <w:tblStyle w:val="TableGrid"/>
        <w:tblW w:w="15470"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7"/>
        <w:gridCol w:w="9933"/>
      </w:tblGrid>
      <w:tr w:rsidR="008814B8" w:rsidRPr="0000465F" w14:paraId="0D8124B1" w14:textId="77777777" w:rsidTr="00AC3CEB">
        <w:trPr>
          <w:trHeight w:val="25"/>
        </w:trPr>
        <w:tc>
          <w:tcPr>
            <w:tcW w:w="5537" w:type="dxa"/>
            <w:tcBorders>
              <w:top w:val="single" w:sz="18" w:space="0" w:color="00A8E5" w:themeColor="accent1"/>
              <w:right w:val="single" w:sz="2" w:space="0" w:color="58595B" w:themeColor="accent4"/>
            </w:tcBorders>
            <w:shd w:val="clear" w:color="auto" w:fill="F6F6F6"/>
          </w:tcPr>
          <w:p w14:paraId="3B7D7B82" w14:textId="77777777" w:rsidR="00317AEA" w:rsidRDefault="008E28FC" w:rsidP="00317AEA">
            <w:pPr>
              <w:pStyle w:val="AEMCTableBodyCopy"/>
              <w:numPr>
                <w:ilvl w:val="0"/>
                <w:numId w:val="6"/>
              </w:numPr>
            </w:pPr>
            <w:r>
              <w:t>Do you think the following transparency mechanisms should be extended to the facilities and activities involved in the supply of constituent gases as part of the initial rules package or should the application of one or more be deferred until a later process? Why? </w:t>
            </w:r>
          </w:p>
          <w:p w14:paraId="5BD2B114" w14:textId="131993D8" w:rsidR="00317AEA" w:rsidRDefault="00317AEA" w:rsidP="00317AEA">
            <w:pPr>
              <w:pStyle w:val="AEMCTableBodyCopy"/>
              <w:numPr>
                <w:ilvl w:val="0"/>
                <w:numId w:val="17"/>
              </w:numPr>
              <w:rPr>
                <w:rStyle w:val="Hyperlink"/>
              </w:rPr>
            </w:pPr>
            <w:r>
              <w:rPr>
                <w:rStyle w:val="Hyperlink"/>
              </w:rPr>
              <w:t xml:space="preserve">The </w:t>
            </w:r>
            <w:r w:rsidR="00B477A8">
              <w:rPr>
                <w:rStyle w:val="Hyperlink"/>
              </w:rPr>
              <w:t>B</w:t>
            </w:r>
            <w:r>
              <w:rPr>
                <w:rStyle w:val="Hyperlink"/>
              </w:rPr>
              <w:t xml:space="preserve">ulletin </w:t>
            </w:r>
            <w:r w:rsidR="00B477A8">
              <w:rPr>
                <w:rStyle w:val="Hyperlink"/>
              </w:rPr>
              <w:t>B</w:t>
            </w:r>
            <w:r>
              <w:rPr>
                <w:rStyle w:val="Hyperlink"/>
              </w:rPr>
              <w:t>oard</w:t>
            </w:r>
          </w:p>
          <w:p w14:paraId="1879E819" w14:textId="7ABF2C76" w:rsidR="00317AEA" w:rsidRDefault="00317AEA" w:rsidP="00317AEA">
            <w:pPr>
              <w:pStyle w:val="AEMCTableBodyCopy"/>
              <w:numPr>
                <w:ilvl w:val="0"/>
                <w:numId w:val="17"/>
              </w:numPr>
              <w:rPr>
                <w:rStyle w:val="Hyperlink"/>
              </w:rPr>
            </w:pPr>
            <w:r>
              <w:rPr>
                <w:rStyle w:val="Hyperlink"/>
              </w:rPr>
              <w:t>The GSOO</w:t>
            </w:r>
          </w:p>
          <w:p w14:paraId="00AD417B" w14:textId="69AF077D" w:rsidR="00317AEA" w:rsidRDefault="00317AEA" w:rsidP="00317AEA">
            <w:pPr>
              <w:pStyle w:val="AEMCTableBodyCopy"/>
              <w:numPr>
                <w:ilvl w:val="0"/>
                <w:numId w:val="17"/>
              </w:numPr>
              <w:rPr>
                <w:rStyle w:val="Hyperlink"/>
              </w:rPr>
            </w:pPr>
            <w:r>
              <w:rPr>
                <w:rStyle w:val="Hyperlink"/>
              </w:rPr>
              <w:t>The VGPR</w:t>
            </w:r>
          </w:p>
          <w:p w14:paraId="4DC460BD" w14:textId="1013FBC9" w:rsidR="002D7820" w:rsidRDefault="00317AEA" w:rsidP="00317AEA">
            <w:pPr>
              <w:pStyle w:val="AEMCTableBodyCopy"/>
              <w:numPr>
                <w:ilvl w:val="0"/>
                <w:numId w:val="17"/>
              </w:numPr>
              <w:rPr>
                <w:rStyle w:val="Hyperlink"/>
              </w:rPr>
            </w:pPr>
            <w:r>
              <w:rPr>
                <w:rStyle w:val="Hyperlink"/>
              </w:rPr>
              <w:t>The compress</w:t>
            </w:r>
            <w:r w:rsidR="002D7820">
              <w:rPr>
                <w:rStyle w:val="Hyperlink"/>
              </w:rPr>
              <w:t>ion and storage terms and prices</w:t>
            </w:r>
          </w:p>
          <w:p w14:paraId="40A6B404" w14:textId="18CEA905" w:rsidR="008E28FC" w:rsidRPr="0000465F" w:rsidRDefault="002D7820" w:rsidP="00053A8A">
            <w:pPr>
              <w:pStyle w:val="AEMCTableBodyCopy"/>
              <w:numPr>
                <w:ilvl w:val="0"/>
                <w:numId w:val="17"/>
              </w:numPr>
              <w:rPr>
                <w:rStyle w:val="Hyperlink"/>
              </w:rPr>
            </w:pPr>
            <w:r>
              <w:rPr>
                <w:rStyle w:val="Hyperlink"/>
              </w:rPr>
              <w:t>The AER’s gas reporting functions.</w:t>
            </w:r>
          </w:p>
        </w:tc>
        <w:tc>
          <w:tcPr>
            <w:tcW w:w="9933" w:type="dxa"/>
            <w:tcBorders>
              <w:top w:val="single" w:sz="18" w:space="0" w:color="00A8E5" w:themeColor="accent1"/>
              <w:left w:val="single" w:sz="2" w:space="0" w:color="58595B" w:themeColor="accent4"/>
            </w:tcBorders>
          </w:tcPr>
          <w:p w14:paraId="5654C7C8" w14:textId="5F609545" w:rsidR="008814B8" w:rsidRPr="00785222" w:rsidRDefault="008814B8" w:rsidP="005C55A2">
            <w:pPr>
              <w:pStyle w:val="AEMCTableBodyCopy"/>
              <w:rPr>
                <w:rStyle w:val="Hyperlink"/>
              </w:rPr>
            </w:pPr>
          </w:p>
        </w:tc>
      </w:tr>
      <w:tr w:rsidR="008814B8" w:rsidRPr="0000465F" w14:paraId="79091A8B" w14:textId="77777777" w:rsidTr="00AC3CEB">
        <w:trPr>
          <w:trHeight w:val="1067"/>
        </w:trPr>
        <w:tc>
          <w:tcPr>
            <w:tcW w:w="5537" w:type="dxa"/>
            <w:tcBorders>
              <w:right w:val="single" w:sz="2" w:space="0" w:color="58595B" w:themeColor="accent4"/>
            </w:tcBorders>
            <w:shd w:val="clear" w:color="auto" w:fill="F6F6F6"/>
          </w:tcPr>
          <w:p w14:paraId="2AFCD1F2" w14:textId="77777777" w:rsidR="008814B8" w:rsidRDefault="002D7820" w:rsidP="005C55A2">
            <w:pPr>
              <w:pStyle w:val="AEMCTableBodyCopy"/>
              <w:numPr>
                <w:ilvl w:val="0"/>
                <w:numId w:val="6"/>
              </w:numPr>
            </w:pPr>
            <w:r>
              <w:t>If you think the transparency mechanisms should be extended as part of the initial rules package: </w:t>
            </w:r>
          </w:p>
          <w:p w14:paraId="7606F694" w14:textId="77777777" w:rsidR="002D7820" w:rsidRDefault="002D7820" w:rsidP="002D7820">
            <w:pPr>
              <w:pStyle w:val="AEMCTableBodyCopy"/>
              <w:numPr>
                <w:ilvl w:val="0"/>
                <w:numId w:val="18"/>
              </w:numPr>
              <w:rPr>
                <w:rStyle w:val="Hyperlink"/>
              </w:rPr>
            </w:pPr>
            <w:r>
              <w:rPr>
                <w:rStyle w:val="Hyperlink"/>
              </w:rPr>
              <w:t>What facilities do you think need to be captured?</w:t>
            </w:r>
          </w:p>
          <w:p w14:paraId="2E695665" w14:textId="3A3118B9" w:rsidR="002D7820" w:rsidRPr="0000465F" w:rsidRDefault="00DE2568" w:rsidP="002D7820">
            <w:pPr>
              <w:pStyle w:val="AEMCTableBodyCopy"/>
              <w:numPr>
                <w:ilvl w:val="0"/>
                <w:numId w:val="18"/>
              </w:numPr>
              <w:rPr>
                <w:rStyle w:val="Hyperlink"/>
              </w:rPr>
            </w:pPr>
            <w:r>
              <w:t>Do you think the facilities and activities involved in the supply of constituent gases should be subject to equivalent reporting obligations as their natural gas counterparts, or are some modifications required to reflect differences in the physical characteristics of these facilities?</w:t>
            </w:r>
          </w:p>
        </w:tc>
        <w:tc>
          <w:tcPr>
            <w:tcW w:w="9933" w:type="dxa"/>
            <w:tcBorders>
              <w:left w:val="single" w:sz="2" w:space="0" w:color="58595B" w:themeColor="accent4"/>
            </w:tcBorders>
          </w:tcPr>
          <w:p w14:paraId="1A242E18" w14:textId="205B0878" w:rsidR="008814B8" w:rsidRPr="00785222" w:rsidRDefault="008814B8" w:rsidP="005C55A2">
            <w:pPr>
              <w:pStyle w:val="AEMCTableBodyCopy"/>
              <w:rPr>
                <w:rStyle w:val="Hyperlink"/>
              </w:rPr>
            </w:pPr>
          </w:p>
        </w:tc>
      </w:tr>
      <w:tr w:rsidR="00DE2568" w:rsidRPr="0000465F" w14:paraId="0DFC8D49" w14:textId="77777777" w:rsidTr="00D7083F">
        <w:trPr>
          <w:trHeight w:val="1345"/>
        </w:trPr>
        <w:tc>
          <w:tcPr>
            <w:tcW w:w="5537" w:type="dxa"/>
            <w:tcBorders>
              <w:right w:val="single" w:sz="2" w:space="0" w:color="58595B" w:themeColor="accent4"/>
            </w:tcBorders>
            <w:shd w:val="clear" w:color="auto" w:fill="F6F6F6"/>
          </w:tcPr>
          <w:p w14:paraId="5A9EF555" w14:textId="1A1EF2AF" w:rsidR="00DE2568" w:rsidRDefault="00DE2568" w:rsidP="005C55A2">
            <w:pPr>
              <w:pStyle w:val="AEMCTableBodyCopy"/>
              <w:numPr>
                <w:ilvl w:val="0"/>
                <w:numId w:val="6"/>
              </w:numPr>
            </w:pPr>
            <w:r>
              <w:t xml:space="preserve"> Are there any other gaps in the </w:t>
            </w:r>
            <w:r>
              <w:rPr>
                <w:rStyle w:val="proofreader-typo"/>
              </w:rPr>
              <w:t>NGR</w:t>
            </w:r>
            <w:r>
              <w:t xml:space="preserve"> that have not been identified that would need to be addressed if the transparency mechanisms were to be extended to constituent gases? Why? If you think there are other issues, what are they and what amendments are needed?</w:t>
            </w:r>
          </w:p>
        </w:tc>
        <w:tc>
          <w:tcPr>
            <w:tcW w:w="9933" w:type="dxa"/>
            <w:tcBorders>
              <w:left w:val="single" w:sz="2" w:space="0" w:color="58595B" w:themeColor="accent4"/>
            </w:tcBorders>
          </w:tcPr>
          <w:p w14:paraId="1F36A249" w14:textId="77777777" w:rsidR="00DE2568" w:rsidRPr="00785222" w:rsidRDefault="00DE2568" w:rsidP="005C55A2">
            <w:pPr>
              <w:pStyle w:val="AEMCTableBodyCopy"/>
              <w:rPr>
                <w:rStyle w:val="Hyperlink"/>
              </w:rPr>
            </w:pPr>
          </w:p>
        </w:tc>
      </w:tr>
    </w:tbl>
    <w:p w14:paraId="27857417" w14:textId="2D43DDAC" w:rsidR="00DE2568" w:rsidRPr="008A4886" w:rsidRDefault="00B3084E" w:rsidP="00DE2568">
      <w:pPr>
        <w:pStyle w:val="AEMCHeaderL4"/>
        <w:rPr>
          <w:rStyle w:val="Hyperlink"/>
        </w:rPr>
      </w:pPr>
      <w:r>
        <w:rPr>
          <w:rStyle w:val="Hyperlink"/>
          <w:b/>
        </w:rPr>
        <w:t xml:space="preserve">question </w:t>
      </w:r>
      <w:r w:rsidR="00245C36">
        <w:rPr>
          <w:rStyle w:val="Hyperlink"/>
          <w:b/>
        </w:rPr>
        <w:t>10</w:t>
      </w:r>
      <w:r>
        <w:rPr>
          <w:rStyle w:val="Hyperlink"/>
          <w:b/>
        </w:rPr>
        <w:t xml:space="preserve"> - </w:t>
      </w:r>
      <w:r w:rsidR="00DE2568" w:rsidRPr="008A4886">
        <w:rPr>
          <w:rStyle w:val="Hyperlink"/>
          <w:b/>
        </w:rPr>
        <w:t xml:space="preserve">CHAPTER </w:t>
      </w:r>
      <w:r w:rsidR="00245C36">
        <w:rPr>
          <w:rStyle w:val="Hyperlink"/>
          <w:b/>
        </w:rPr>
        <w:t>5</w:t>
      </w:r>
      <w:r w:rsidR="00DE2568" w:rsidRPr="008A4886">
        <w:rPr>
          <w:rStyle w:val="Hyperlink"/>
        </w:rPr>
        <w:t xml:space="preserve"> – </w:t>
      </w:r>
      <w:r>
        <w:rPr>
          <w:rStyle w:val="Hyperlink"/>
        </w:rPr>
        <w:t xml:space="preserve">trading </w:t>
      </w:r>
      <w:r w:rsidR="00D7083F">
        <w:rPr>
          <w:rStyle w:val="Hyperlink"/>
        </w:rPr>
        <w:t xml:space="preserve">natural gas equivalents </w:t>
      </w:r>
      <w:r>
        <w:rPr>
          <w:rStyle w:val="Hyperlink"/>
        </w:rPr>
        <w:t>in the facilitated gas markets</w:t>
      </w:r>
    </w:p>
    <w:tbl>
      <w:tblPr>
        <w:tblStyle w:val="TableGrid"/>
        <w:tblW w:w="15472"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7"/>
        <w:gridCol w:w="9935"/>
      </w:tblGrid>
      <w:tr w:rsidR="00DE2568" w:rsidRPr="0000465F" w14:paraId="7A2E83B3" w14:textId="77777777" w:rsidTr="00AC3CEB">
        <w:trPr>
          <w:trHeight w:val="211"/>
        </w:trPr>
        <w:tc>
          <w:tcPr>
            <w:tcW w:w="5537" w:type="dxa"/>
            <w:tcBorders>
              <w:top w:val="single" w:sz="18" w:space="0" w:color="00A8E5" w:themeColor="accent1"/>
              <w:right w:val="single" w:sz="2" w:space="0" w:color="58595B" w:themeColor="accent4"/>
            </w:tcBorders>
            <w:shd w:val="clear" w:color="auto" w:fill="F6F6F6"/>
          </w:tcPr>
          <w:p w14:paraId="45C362C8" w14:textId="2944BCB7" w:rsidR="00DE2568" w:rsidRPr="0000465F" w:rsidRDefault="0014387F" w:rsidP="005C55A2">
            <w:pPr>
              <w:pStyle w:val="AEMCTableBodyCopy"/>
              <w:numPr>
                <w:ilvl w:val="0"/>
                <w:numId w:val="6"/>
              </w:numPr>
              <w:rPr>
                <w:rStyle w:val="Hyperlink"/>
              </w:rPr>
            </w:pPr>
            <w:r>
              <w:t>Do you think natural gas equivalents should be traded through the facilitated markets, or outside of the facilitated markets? </w:t>
            </w:r>
          </w:p>
        </w:tc>
        <w:tc>
          <w:tcPr>
            <w:tcW w:w="9935" w:type="dxa"/>
            <w:tcBorders>
              <w:top w:val="single" w:sz="18" w:space="0" w:color="00A8E5" w:themeColor="accent1"/>
              <w:left w:val="single" w:sz="2" w:space="0" w:color="58595B" w:themeColor="accent4"/>
            </w:tcBorders>
          </w:tcPr>
          <w:p w14:paraId="73B176FB" w14:textId="62344047" w:rsidR="00DE2568" w:rsidRPr="00785222" w:rsidRDefault="00DE2568" w:rsidP="005C55A2">
            <w:pPr>
              <w:pStyle w:val="AEMCTableBodyCopy"/>
              <w:rPr>
                <w:rStyle w:val="Hyperlink"/>
              </w:rPr>
            </w:pPr>
          </w:p>
        </w:tc>
      </w:tr>
      <w:tr w:rsidR="00DE2568" w:rsidRPr="0000465F" w14:paraId="2ABA76B2" w14:textId="77777777" w:rsidTr="00AC3CEB">
        <w:trPr>
          <w:trHeight w:val="369"/>
        </w:trPr>
        <w:tc>
          <w:tcPr>
            <w:tcW w:w="5537" w:type="dxa"/>
            <w:tcBorders>
              <w:right w:val="single" w:sz="2" w:space="0" w:color="58595B" w:themeColor="accent4"/>
            </w:tcBorders>
            <w:shd w:val="clear" w:color="auto" w:fill="F6F6F6"/>
          </w:tcPr>
          <w:p w14:paraId="657F686E" w14:textId="3C9C31C6" w:rsidR="00DE2568" w:rsidRPr="0000465F" w:rsidRDefault="0014387F" w:rsidP="005C55A2">
            <w:pPr>
              <w:pStyle w:val="AEMCTableBodyCopy"/>
              <w:numPr>
                <w:ilvl w:val="0"/>
                <w:numId w:val="6"/>
              </w:numPr>
              <w:rPr>
                <w:rStyle w:val="Hyperlink"/>
              </w:rPr>
            </w:pPr>
            <w:r>
              <w:t>What do you consider are the implications of these two options, in terms of required regulatory changes, costs of implementation and potential market inefficiencies? </w:t>
            </w:r>
          </w:p>
        </w:tc>
        <w:tc>
          <w:tcPr>
            <w:tcW w:w="9935" w:type="dxa"/>
            <w:tcBorders>
              <w:left w:val="single" w:sz="2" w:space="0" w:color="58595B" w:themeColor="accent4"/>
            </w:tcBorders>
          </w:tcPr>
          <w:p w14:paraId="63D62E48" w14:textId="0992BBD6" w:rsidR="00DE2568" w:rsidRPr="00785222" w:rsidRDefault="00DE2568" w:rsidP="005C55A2">
            <w:pPr>
              <w:pStyle w:val="AEMCTableBodyCopy"/>
              <w:rPr>
                <w:rStyle w:val="Hyperlink"/>
              </w:rPr>
            </w:pPr>
          </w:p>
        </w:tc>
      </w:tr>
    </w:tbl>
    <w:p w14:paraId="639C6B50" w14:textId="1F9BD5D8" w:rsidR="0014387F" w:rsidRPr="008A4886" w:rsidRDefault="0014387F" w:rsidP="0014387F">
      <w:pPr>
        <w:pStyle w:val="AEMCHeaderL4"/>
        <w:rPr>
          <w:rStyle w:val="Hyperlink"/>
        </w:rPr>
      </w:pPr>
      <w:r>
        <w:rPr>
          <w:rStyle w:val="Hyperlink"/>
          <w:b/>
        </w:rPr>
        <w:lastRenderedPageBreak/>
        <w:t xml:space="preserve">question </w:t>
      </w:r>
      <w:r w:rsidR="00245C36">
        <w:rPr>
          <w:rStyle w:val="Hyperlink"/>
          <w:b/>
        </w:rPr>
        <w:t>11</w:t>
      </w:r>
      <w:r>
        <w:rPr>
          <w:rStyle w:val="Hyperlink"/>
          <w:b/>
        </w:rPr>
        <w:t xml:space="preserve">- </w:t>
      </w:r>
      <w:r w:rsidRPr="008A4886">
        <w:rPr>
          <w:rStyle w:val="Hyperlink"/>
          <w:b/>
        </w:rPr>
        <w:t xml:space="preserve">CHAPTER </w:t>
      </w:r>
      <w:r w:rsidR="00245C36">
        <w:rPr>
          <w:rStyle w:val="Hyperlink"/>
          <w:b/>
        </w:rPr>
        <w:t>5</w:t>
      </w:r>
      <w:r w:rsidRPr="008A4886">
        <w:rPr>
          <w:rStyle w:val="Hyperlink"/>
        </w:rPr>
        <w:t xml:space="preserve"> – </w:t>
      </w:r>
      <w:r>
        <w:rPr>
          <w:rStyle w:val="Hyperlink"/>
        </w:rPr>
        <w:t>Facilitated markets regis</w:t>
      </w:r>
      <w:r w:rsidR="006D7942">
        <w:rPr>
          <w:rStyle w:val="Hyperlink"/>
        </w:rPr>
        <w:t>t</w:t>
      </w:r>
      <w:r>
        <w:rPr>
          <w:rStyle w:val="Hyperlink"/>
        </w:rPr>
        <w:t>ration categories</w:t>
      </w:r>
    </w:p>
    <w:tbl>
      <w:tblPr>
        <w:tblStyle w:val="TableGrid"/>
        <w:tblW w:w="15225"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449"/>
        <w:gridCol w:w="9776"/>
      </w:tblGrid>
      <w:tr w:rsidR="0014387F" w:rsidRPr="0000465F" w14:paraId="207A74A7" w14:textId="77777777" w:rsidTr="005C55A2">
        <w:trPr>
          <w:trHeight w:val="248"/>
        </w:trPr>
        <w:tc>
          <w:tcPr>
            <w:tcW w:w="5449" w:type="dxa"/>
            <w:tcBorders>
              <w:top w:val="single" w:sz="18" w:space="0" w:color="00A8E5" w:themeColor="accent1"/>
              <w:right w:val="single" w:sz="2" w:space="0" w:color="58595B" w:themeColor="accent4"/>
            </w:tcBorders>
            <w:shd w:val="clear" w:color="auto" w:fill="F6F6F6"/>
          </w:tcPr>
          <w:p w14:paraId="02CDCB8F" w14:textId="68B7EAB6" w:rsidR="0014387F" w:rsidRPr="0000465F" w:rsidRDefault="009968E5" w:rsidP="005C55A2">
            <w:pPr>
              <w:pStyle w:val="AEMCTableBodyCopy"/>
              <w:numPr>
                <w:ilvl w:val="0"/>
                <w:numId w:val="6"/>
              </w:numPr>
              <w:rPr>
                <w:rStyle w:val="Hyperlink"/>
              </w:rPr>
            </w:pPr>
            <w:r>
              <w:t>If natural gas equivalents are to be integrated into the facilitated markets, are new registration categories required to accommodate facilities and participants involved in the creation of these products, including through the injection of blends into the distribution system?</w:t>
            </w:r>
          </w:p>
        </w:tc>
        <w:tc>
          <w:tcPr>
            <w:tcW w:w="9776" w:type="dxa"/>
            <w:tcBorders>
              <w:top w:val="single" w:sz="18" w:space="0" w:color="00A8E5" w:themeColor="accent1"/>
              <w:left w:val="single" w:sz="2" w:space="0" w:color="58595B" w:themeColor="accent4"/>
            </w:tcBorders>
          </w:tcPr>
          <w:p w14:paraId="2C06EB37" w14:textId="5D3CC4A0" w:rsidR="0014387F" w:rsidRPr="00785222" w:rsidRDefault="0014387F" w:rsidP="005C55A2">
            <w:pPr>
              <w:pStyle w:val="AEMCTableBodyCopy"/>
              <w:rPr>
                <w:rStyle w:val="Hyperlink"/>
              </w:rPr>
            </w:pPr>
          </w:p>
        </w:tc>
      </w:tr>
      <w:tr w:rsidR="0014387F" w:rsidRPr="0000465F" w14:paraId="4B478441" w14:textId="77777777" w:rsidTr="005C55A2">
        <w:trPr>
          <w:trHeight w:val="433"/>
        </w:trPr>
        <w:tc>
          <w:tcPr>
            <w:tcW w:w="5449" w:type="dxa"/>
            <w:tcBorders>
              <w:right w:val="single" w:sz="2" w:space="0" w:color="58595B" w:themeColor="accent4"/>
            </w:tcBorders>
            <w:shd w:val="clear" w:color="auto" w:fill="F6F6F6"/>
          </w:tcPr>
          <w:p w14:paraId="14D9E2B8" w14:textId="7F5C4443" w:rsidR="0014387F" w:rsidRPr="0000465F" w:rsidRDefault="009968E5" w:rsidP="005C55A2">
            <w:pPr>
              <w:pStyle w:val="AEMCTableBodyCopy"/>
              <w:numPr>
                <w:ilvl w:val="0"/>
                <w:numId w:val="6"/>
              </w:numPr>
              <w:rPr>
                <w:rStyle w:val="Hyperlink"/>
              </w:rPr>
            </w:pPr>
            <w:r>
              <w:t>If flows associated with distribution-connected blending facilities are not scheduled in facilitated markets, are new registration categories required for blending facilities and associated participants or can they be exempted from registration?</w:t>
            </w:r>
          </w:p>
        </w:tc>
        <w:tc>
          <w:tcPr>
            <w:tcW w:w="9776" w:type="dxa"/>
            <w:tcBorders>
              <w:left w:val="single" w:sz="2" w:space="0" w:color="58595B" w:themeColor="accent4"/>
            </w:tcBorders>
          </w:tcPr>
          <w:p w14:paraId="05DB5B3A" w14:textId="7D4E5216" w:rsidR="0014387F" w:rsidRPr="00785222" w:rsidRDefault="0014387F" w:rsidP="005C55A2">
            <w:pPr>
              <w:pStyle w:val="AEMCTableBodyCopy"/>
              <w:rPr>
                <w:rStyle w:val="Hyperlink"/>
              </w:rPr>
            </w:pPr>
          </w:p>
        </w:tc>
      </w:tr>
    </w:tbl>
    <w:p w14:paraId="53B4B71D" w14:textId="59B9B092" w:rsidR="009968E5" w:rsidRPr="008A4886" w:rsidRDefault="009968E5" w:rsidP="009968E5">
      <w:pPr>
        <w:pStyle w:val="AEMCHeaderL4"/>
        <w:rPr>
          <w:rStyle w:val="Hyperlink"/>
        </w:rPr>
      </w:pPr>
      <w:r>
        <w:rPr>
          <w:rStyle w:val="Hyperlink"/>
          <w:b/>
        </w:rPr>
        <w:t xml:space="preserve">question </w:t>
      </w:r>
      <w:r w:rsidR="00245C36">
        <w:rPr>
          <w:rStyle w:val="Hyperlink"/>
          <w:b/>
        </w:rPr>
        <w:t>12</w:t>
      </w:r>
      <w:r>
        <w:rPr>
          <w:rStyle w:val="Hyperlink"/>
          <w:b/>
        </w:rPr>
        <w:t xml:space="preserve">- </w:t>
      </w:r>
      <w:r w:rsidRPr="008A4886">
        <w:rPr>
          <w:rStyle w:val="Hyperlink"/>
          <w:b/>
        </w:rPr>
        <w:t xml:space="preserve">CHAPTER </w:t>
      </w:r>
      <w:r w:rsidR="00245C36">
        <w:rPr>
          <w:rStyle w:val="Hyperlink"/>
          <w:b/>
        </w:rPr>
        <w:t>5</w:t>
      </w:r>
      <w:r w:rsidRPr="008A4886">
        <w:rPr>
          <w:rStyle w:val="Hyperlink"/>
        </w:rPr>
        <w:t xml:space="preserve"> – </w:t>
      </w:r>
      <w:r w:rsidR="000602D5">
        <w:rPr>
          <w:rStyle w:val="Hyperlink"/>
        </w:rPr>
        <w:t>unac</w:t>
      </w:r>
      <w:r w:rsidR="00441DAE">
        <w:rPr>
          <w:rStyle w:val="Hyperlink"/>
        </w:rPr>
        <w:t>c</w:t>
      </w:r>
      <w:r w:rsidR="000602D5">
        <w:rPr>
          <w:rStyle w:val="Hyperlink"/>
        </w:rPr>
        <w:t>ounted for gas in the facilitated makrets</w:t>
      </w:r>
    </w:p>
    <w:tbl>
      <w:tblPr>
        <w:tblStyle w:val="TableGrid"/>
        <w:tblW w:w="15472"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444"/>
        <w:gridCol w:w="10028"/>
      </w:tblGrid>
      <w:tr w:rsidR="009968E5" w:rsidRPr="0000465F" w14:paraId="41709B3F" w14:textId="77777777" w:rsidTr="00BE0E20">
        <w:trPr>
          <w:trHeight w:val="241"/>
        </w:trPr>
        <w:tc>
          <w:tcPr>
            <w:tcW w:w="5444" w:type="dxa"/>
            <w:tcBorders>
              <w:top w:val="single" w:sz="18" w:space="0" w:color="00A8E5" w:themeColor="accent1"/>
              <w:right w:val="single" w:sz="2" w:space="0" w:color="58595B" w:themeColor="accent4"/>
            </w:tcBorders>
            <w:shd w:val="clear" w:color="auto" w:fill="F6F6F6"/>
          </w:tcPr>
          <w:p w14:paraId="56E1A3C8" w14:textId="5A2ADF55" w:rsidR="009968E5" w:rsidRPr="0000465F" w:rsidRDefault="000602D5" w:rsidP="005C55A2">
            <w:pPr>
              <w:pStyle w:val="AEMCTableBodyCopy"/>
              <w:numPr>
                <w:ilvl w:val="0"/>
                <w:numId w:val="6"/>
              </w:numPr>
              <w:rPr>
                <w:rStyle w:val="Hyperlink"/>
              </w:rPr>
            </w:pPr>
            <w:r>
              <w:t xml:space="preserve">Do you think initial trials involving the injection of natural gas equivalents into the distribution system should be accommodated by amending jurisdictional arrangements for </w:t>
            </w:r>
            <w:r>
              <w:rPr>
                <w:rStyle w:val="proofreader-typo"/>
              </w:rPr>
              <w:t>UAFG</w:t>
            </w:r>
            <w:r>
              <w:t>? </w:t>
            </w:r>
          </w:p>
        </w:tc>
        <w:tc>
          <w:tcPr>
            <w:tcW w:w="10028" w:type="dxa"/>
            <w:tcBorders>
              <w:top w:val="single" w:sz="18" w:space="0" w:color="00A8E5" w:themeColor="accent1"/>
              <w:left w:val="single" w:sz="2" w:space="0" w:color="58595B" w:themeColor="accent4"/>
            </w:tcBorders>
          </w:tcPr>
          <w:p w14:paraId="29551E1A" w14:textId="0E5B7346" w:rsidR="009968E5" w:rsidRPr="00785222" w:rsidRDefault="009968E5" w:rsidP="005C55A2">
            <w:pPr>
              <w:pStyle w:val="AEMCTableBodyCopy"/>
              <w:rPr>
                <w:rStyle w:val="Hyperlink"/>
              </w:rPr>
            </w:pPr>
          </w:p>
        </w:tc>
      </w:tr>
      <w:tr w:rsidR="009968E5" w:rsidRPr="0000465F" w14:paraId="0BBA82DC" w14:textId="77777777" w:rsidTr="00BE0E20">
        <w:trPr>
          <w:trHeight w:val="421"/>
        </w:trPr>
        <w:tc>
          <w:tcPr>
            <w:tcW w:w="5444" w:type="dxa"/>
            <w:tcBorders>
              <w:right w:val="single" w:sz="2" w:space="0" w:color="58595B" w:themeColor="accent4"/>
            </w:tcBorders>
            <w:shd w:val="clear" w:color="auto" w:fill="F6F6F6"/>
          </w:tcPr>
          <w:p w14:paraId="18008486" w14:textId="2A44B771" w:rsidR="009968E5" w:rsidRPr="0000465F" w:rsidRDefault="00AB3F84" w:rsidP="005C55A2">
            <w:pPr>
              <w:pStyle w:val="AEMCTableBodyCopy"/>
              <w:numPr>
                <w:ilvl w:val="0"/>
                <w:numId w:val="6"/>
              </w:numPr>
              <w:rPr>
                <w:rStyle w:val="Hyperlink"/>
              </w:rPr>
            </w:pPr>
            <w:proofErr w:type="spellStart"/>
            <w:r>
              <w:t>f</w:t>
            </w:r>
            <w:proofErr w:type="spellEnd"/>
            <w:r>
              <w:t xml:space="preserve"> so, how will this impact the operation of the matched allocation mechanism (as used by the distributor in the Sydney </w:t>
            </w:r>
            <w:r>
              <w:rPr>
                <w:rStyle w:val="proofreader-typo"/>
              </w:rPr>
              <w:t>STTM</w:t>
            </w:r>
            <w:r>
              <w:t xml:space="preserve"> hub)?</w:t>
            </w:r>
          </w:p>
        </w:tc>
        <w:tc>
          <w:tcPr>
            <w:tcW w:w="10028" w:type="dxa"/>
            <w:tcBorders>
              <w:left w:val="single" w:sz="2" w:space="0" w:color="58595B" w:themeColor="accent4"/>
            </w:tcBorders>
          </w:tcPr>
          <w:p w14:paraId="66E8CAD7" w14:textId="2451E331" w:rsidR="009968E5" w:rsidRPr="00785222" w:rsidRDefault="009968E5" w:rsidP="005C55A2">
            <w:pPr>
              <w:pStyle w:val="AEMCTableBodyCopy"/>
              <w:rPr>
                <w:rStyle w:val="Hyperlink"/>
              </w:rPr>
            </w:pPr>
          </w:p>
        </w:tc>
      </w:tr>
      <w:tr w:rsidR="00AB3F84" w:rsidRPr="0000465F" w14:paraId="3592E5CE" w14:textId="77777777" w:rsidTr="00BE0E20">
        <w:trPr>
          <w:trHeight w:val="421"/>
        </w:trPr>
        <w:tc>
          <w:tcPr>
            <w:tcW w:w="5444" w:type="dxa"/>
            <w:tcBorders>
              <w:right w:val="single" w:sz="2" w:space="0" w:color="58595B" w:themeColor="accent4"/>
            </w:tcBorders>
            <w:shd w:val="clear" w:color="auto" w:fill="F6F6F6"/>
          </w:tcPr>
          <w:p w14:paraId="08E646FC" w14:textId="16A22ECA" w:rsidR="00AB3F84" w:rsidRDefault="00AB3F84" w:rsidP="005C55A2">
            <w:pPr>
              <w:pStyle w:val="AEMCTableBodyCopy"/>
              <w:numPr>
                <w:ilvl w:val="0"/>
                <w:numId w:val="6"/>
              </w:numPr>
            </w:pPr>
            <w:r>
              <w:t xml:space="preserve">What changes would be required to </w:t>
            </w:r>
            <w:r>
              <w:rPr>
                <w:rStyle w:val="proofreader-typo"/>
              </w:rPr>
              <w:t>UAFG</w:t>
            </w:r>
            <w:r>
              <w:t xml:space="preserve"> arrangements in the </w:t>
            </w:r>
            <w:r>
              <w:rPr>
                <w:rStyle w:val="proofreader-typo"/>
              </w:rPr>
              <w:t>DWGM</w:t>
            </w:r>
            <w:r>
              <w:t>?  </w:t>
            </w:r>
          </w:p>
        </w:tc>
        <w:tc>
          <w:tcPr>
            <w:tcW w:w="10028" w:type="dxa"/>
            <w:tcBorders>
              <w:left w:val="single" w:sz="2" w:space="0" w:color="58595B" w:themeColor="accent4"/>
            </w:tcBorders>
          </w:tcPr>
          <w:p w14:paraId="053DF955" w14:textId="77777777" w:rsidR="00AB3F84" w:rsidRPr="00785222" w:rsidRDefault="00AB3F84" w:rsidP="005C55A2">
            <w:pPr>
              <w:pStyle w:val="AEMCTableBodyCopy"/>
              <w:rPr>
                <w:rStyle w:val="Hyperlink"/>
              </w:rPr>
            </w:pPr>
          </w:p>
        </w:tc>
      </w:tr>
    </w:tbl>
    <w:p w14:paraId="1B6ACED8" w14:textId="5255E933" w:rsidR="00FC3CAC" w:rsidRPr="008A4886" w:rsidRDefault="006656E8" w:rsidP="00FC3CAC">
      <w:pPr>
        <w:pStyle w:val="AEMCHeaderL4"/>
        <w:rPr>
          <w:rStyle w:val="Hyperlink"/>
        </w:rPr>
      </w:pPr>
      <w:r>
        <w:rPr>
          <w:rStyle w:val="Hyperlink"/>
          <w:b/>
        </w:rPr>
        <w:t xml:space="preserve">question </w:t>
      </w:r>
      <w:r w:rsidR="00245C36">
        <w:rPr>
          <w:rStyle w:val="Hyperlink"/>
          <w:b/>
        </w:rPr>
        <w:t>13</w:t>
      </w:r>
      <w:r>
        <w:rPr>
          <w:rStyle w:val="Hyperlink"/>
          <w:b/>
        </w:rPr>
        <w:t xml:space="preserve"> - </w:t>
      </w:r>
      <w:r w:rsidR="00FC3CAC" w:rsidRPr="008A4886">
        <w:rPr>
          <w:rStyle w:val="Hyperlink"/>
          <w:b/>
        </w:rPr>
        <w:t xml:space="preserve">CHAPTER </w:t>
      </w:r>
      <w:r w:rsidR="00245C36">
        <w:rPr>
          <w:rStyle w:val="Hyperlink"/>
          <w:b/>
        </w:rPr>
        <w:t>5</w:t>
      </w:r>
      <w:r w:rsidR="00FC3CAC" w:rsidRPr="008A4886">
        <w:rPr>
          <w:rStyle w:val="Hyperlink"/>
        </w:rPr>
        <w:t xml:space="preserve"> – </w:t>
      </w:r>
      <w:r>
        <w:rPr>
          <w:rStyle w:val="Hyperlink"/>
        </w:rPr>
        <w:t>settlement issues in the facilitated market</w:t>
      </w:r>
      <w:r w:rsidR="00833F65">
        <w:rPr>
          <w:rStyle w:val="Hyperlink"/>
        </w:rPr>
        <w:t>s</w:t>
      </w:r>
    </w:p>
    <w:tbl>
      <w:tblPr>
        <w:tblStyle w:val="TableGrid"/>
        <w:tblW w:w="15386"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06"/>
        <w:gridCol w:w="9880"/>
      </w:tblGrid>
      <w:tr w:rsidR="00FC3CAC" w:rsidRPr="0000465F" w14:paraId="38149AE3" w14:textId="77777777" w:rsidTr="00AC3CEB">
        <w:trPr>
          <w:trHeight w:val="486"/>
        </w:trPr>
        <w:tc>
          <w:tcPr>
            <w:tcW w:w="5506" w:type="dxa"/>
            <w:tcBorders>
              <w:top w:val="single" w:sz="18" w:space="0" w:color="00A8E5" w:themeColor="accent1"/>
              <w:right w:val="single" w:sz="2" w:space="0" w:color="58595B" w:themeColor="accent4"/>
            </w:tcBorders>
            <w:shd w:val="clear" w:color="auto" w:fill="F6F6F6"/>
          </w:tcPr>
          <w:p w14:paraId="6B8DF7C1" w14:textId="41E554E5" w:rsidR="00FC3CAC" w:rsidRPr="0000465F" w:rsidRDefault="00B73E22" w:rsidP="005C55A2">
            <w:pPr>
              <w:pStyle w:val="AEMCTableBodyCopy"/>
              <w:numPr>
                <w:ilvl w:val="0"/>
                <w:numId w:val="6"/>
              </w:numPr>
              <w:rPr>
                <w:rStyle w:val="Hyperlink"/>
              </w:rPr>
            </w:pPr>
            <w:r>
              <w:t>If distribution connected blending facilities are not integrated into the facilitated markets, what settlement issues may arise?  </w:t>
            </w:r>
          </w:p>
        </w:tc>
        <w:tc>
          <w:tcPr>
            <w:tcW w:w="9880" w:type="dxa"/>
            <w:tcBorders>
              <w:top w:val="single" w:sz="18" w:space="0" w:color="00A8E5" w:themeColor="accent1"/>
              <w:left w:val="single" w:sz="2" w:space="0" w:color="58595B" w:themeColor="accent4"/>
            </w:tcBorders>
          </w:tcPr>
          <w:p w14:paraId="4066854C" w14:textId="54C1A7DE" w:rsidR="00FC3CAC" w:rsidRPr="00785222" w:rsidRDefault="00FC3CAC" w:rsidP="005C55A2">
            <w:pPr>
              <w:pStyle w:val="AEMCTableBodyCopy"/>
              <w:rPr>
                <w:rStyle w:val="Hyperlink"/>
              </w:rPr>
            </w:pPr>
          </w:p>
        </w:tc>
      </w:tr>
      <w:tr w:rsidR="00FC3CAC" w:rsidRPr="0000465F" w14:paraId="6E22DD81" w14:textId="77777777" w:rsidTr="00AC3CEB">
        <w:trPr>
          <w:trHeight w:val="1284"/>
        </w:trPr>
        <w:tc>
          <w:tcPr>
            <w:tcW w:w="5506" w:type="dxa"/>
            <w:tcBorders>
              <w:right w:val="single" w:sz="2" w:space="0" w:color="58595B" w:themeColor="accent4"/>
            </w:tcBorders>
            <w:shd w:val="clear" w:color="auto" w:fill="F6F6F6"/>
          </w:tcPr>
          <w:p w14:paraId="0986CDFC" w14:textId="450DA341" w:rsidR="00FC3CAC" w:rsidRPr="0000465F" w:rsidRDefault="00B73E22" w:rsidP="005C55A2">
            <w:pPr>
              <w:pStyle w:val="AEMCTableBodyCopy"/>
              <w:numPr>
                <w:ilvl w:val="0"/>
                <w:numId w:val="6"/>
              </w:numPr>
              <w:rPr>
                <w:rStyle w:val="Hyperlink"/>
              </w:rPr>
            </w:pPr>
            <w:r>
              <w:t xml:space="preserve">If distribution injections and corresponding end use consumption need to be excluded from settlement, how should </w:t>
            </w:r>
            <w:r>
              <w:rPr>
                <w:rStyle w:val="proofreader-typo"/>
              </w:rPr>
              <w:t>excluded</w:t>
            </w:r>
            <w:r>
              <w:t xml:space="preserve"> consumption be treated? What factors might aff</w:t>
            </w:r>
            <w:r w:rsidR="00C90915">
              <w:t>ect this?</w:t>
            </w:r>
          </w:p>
        </w:tc>
        <w:tc>
          <w:tcPr>
            <w:tcW w:w="9880" w:type="dxa"/>
            <w:tcBorders>
              <w:left w:val="single" w:sz="2" w:space="0" w:color="58595B" w:themeColor="accent4"/>
            </w:tcBorders>
          </w:tcPr>
          <w:p w14:paraId="1398F605" w14:textId="19021DBF" w:rsidR="00B73E22" w:rsidRPr="00B73E22" w:rsidRDefault="00B73E22" w:rsidP="006B1C58"/>
        </w:tc>
      </w:tr>
      <w:tr w:rsidR="00B73E22" w:rsidRPr="0000465F" w14:paraId="7F0F5368" w14:textId="77777777" w:rsidTr="00AC3CEB">
        <w:trPr>
          <w:trHeight w:val="205"/>
        </w:trPr>
        <w:tc>
          <w:tcPr>
            <w:tcW w:w="5506" w:type="dxa"/>
            <w:tcBorders>
              <w:right w:val="single" w:sz="2" w:space="0" w:color="58595B" w:themeColor="accent4"/>
            </w:tcBorders>
            <w:shd w:val="clear" w:color="auto" w:fill="F6F6F6"/>
          </w:tcPr>
          <w:p w14:paraId="310D2168" w14:textId="0B4F60C6" w:rsidR="00B73E22" w:rsidRDefault="004D0E2E" w:rsidP="005C55A2">
            <w:pPr>
              <w:pStyle w:val="AEMCTableBodyCopy"/>
              <w:numPr>
                <w:ilvl w:val="0"/>
                <w:numId w:val="6"/>
              </w:numPr>
            </w:pPr>
            <w:r>
              <w:lastRenderedPageBreak/>
              <w:t xml:space="preserve">If distribution connected blending facilities are integrated into the facilitated markets, are settlement issues in the </w:t>
            </w:r>
            <w:r>
              <w:rPr>
                <w:rStyle w:val="proofreader-typo"/>
              </w:rPr>
              <w:t>STTM</w:t>
            </w:r>
            <w:r>
              <w:t xml:space="preserve"> likely to be relatively straightforward to resolve? Why? </w:t>
            </w:r>
          </w:p>
        </w:tc>
        <w:tc>
          <w:tcPr>
            <w:tcW w:w="9880" w:type="dxa"/>
            <w:tcBorders>
              <w:left w:val="single" w:sz="2" w:space="0" w:color="58595B" w:themeColor="accent4"/>
            </w:tcBorders>
          </w:tcPr>
          <w:p w14:paraId="5FC76234" w14:textId="77777777" w:rsidR="00B73E22" w:rsidRPr="00785222" w:rsidRDefault="00B73E22" w:rsidP="005C55A2">
            <w:pPr>
              <w:pStyle w:val="AEMCTableBodyCopy"/>
              <w:rPr>
                <w:rStyle w:val="Hyperlink"/>
              </w:rPr>
            </w:pPr>
          </w:p>
        </w:tc>
      </w:tr>
      <w:tr w:rsidR="00B73E22" w:rsidRPr="0000465F" w14:paraId="637D1EB5" w14:textId="77777777" w:rsidTr="00AC3CEB">
        <w:trPr>
          <w:trHeight w:val="581"/>
        </w:trPr>
        <w:tc>
          <w:tcPr>
            <w:tcW w:w="5506" w:type="dxa"/>
            <w:tcBorders>
              <w:right w:val="single" w:sz="2" w:space="0" w:color="58595B" w:themeColor="accent4"/>
            </w:tcBorders>
            <w:shd w:val="clear" w:color="auto" w:fill="F6F6F6"/>
          </w:tcPr>
          <w:p w14:paraId="40E8C4F5" w14:textId="06A94EBE" w:rsidR="00B73E22" w:rsidRDefault="005B39FA" w:rsidP="005C55A2">
            <w:pPr>
              <w:pStyle w:val="AEMCTableBodyCopy"/>
              <w:numPr>
                <w:ilvl w:val="0"/>
                <w:numId w:val="6"/>
              </w:numPr>
            </w:pPr>
            <w:r>
              <w:t xml:space="preserve">How should facilities exempted from registration, or that fall below a </w:t>
            </w:r>
            <w:r>
              <w:rPr>
                <w:rStyle w:val="proofreader-typo"/>
              </w:rPr>
              <w:t>materiality</w:t>
            </w:r>
            <w:r>
              <w:t xml:space="preserve"> threshold, be treated under settlement arrangements in the facilitated markets? </w:t>
            </w:r>
          </w:p>
        </w:tc>
        <w:tc>
          <w:tcPr>
            <w:tcW w:w="9880" w:type="dxa"/>
            <w:tcBorders>
              <w:left w:val="single" w:sz="2" w:space="0" w:color="58595B" w:themeColor="accent4"/>
            </w:tcBorders>
          </w:tcPr>
          <w:p w14:paraId="3CD8C7FE" w14:textId="77777777" w:rsidR="00B73E22" w:rsidRPr="00785222" w:rsidRDefault="00B73E22" w:rsidP="005C55A2">
            <w:pPr>
              <w:pStyle w:val="AEMCTableBodyCopy"/>
              <w:rPr>
                <w:rStyle w:val="Hyperlink"/>
              </w:rPr>
            </w:pPr>
          </w:p>
        </w:tc>
      </w:tr>
    </w:tbl>
    <w:p w14:paraId="204DE5C7" w14:textId="7A5D00C4" w:rsidR="005B39FA" w:rsidRPr="008A4886" w:rsidRDefault="00F11916" w:rsidP="005B39FA">
      <w:pPr>
        <w:pStyle w:val="AEMCHeaderL4"/>
        <w:rPr>
          <w:rStyle w:val="Hyperlink"/>
        </w:rPr>
      </w:pPr>
      <w:r>
        <w:rPr>
          <w:rStyle w:val="Hyperlink"/>
          <w:b/>
        </w:rPr>
        <w:t xml:space="preserve">question </w:t>
      </w:r>
      <w:r w:rsidR="008068B6">
        <w:rPr>
          <w:rStyle w:val="Hyperlink"/>
          <w:b/>
        </w:rPr>
        <w:t>14</w:t>
      </w:r>
      <w:r>
        <w:rPr>
          <w:rStyle w:val="Hyperlink"/>
          <w:b/>
        </w:rPr>
        <w:t xml:space="preserve"> - </w:t>
      </w:r>
      <w:r w:rsidR="005B39FA" w:rsidRPr="008A4886">
        <w:rPr>
          <w:rStyle w:val="Hyperlink"/>
          <w:b/>
        </w:rPr>
        <w:t xml:space="preserve">CHAPTER </w:t>
      </w:r>
      <w:r w:rsidR="008068B6">
        <w:rPr>
          <w:rStyle w:val="Hyperlink"/>
          <w:b/>
        </w:rPr>
        <w:t>5</w:t>
      </w:r>
      <w:r w:rsidR="005B39FA" w:rsidRPr="008A4886">
        <w:rPr>
          <w:rStyle w:val="Hyperlink"/>
        </w:rPr>
        <w:t xml:space="preserve"> –</w:t>
      </w:r>
      <w:r w:rsidR="005B39FA">
        <w:rPr>
          <w:rStyle w:val="Hyperlink"/>
        </w:rPr>
        <w:t xml:space="preserve"> </w:t>
      </w:r>
      <w:r>
        <w:rPr>
          <w:rStyle w:val="Hyperlink"/>
        </w:rPr>
        <w:t>metering and heating values in the facilitated markets</w:t>
      </w:r>
    </w:p>
    <w:tbl>
      <w:tblPr>
        <w:tblStyle w:val="TableGrid"/>
        <w:tblW w:w="15471"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7"/>
        <w:gridCol w:w="9934"/>
      </w:tblGrid>
      <w:tr w:rsidR="005B39FA" w:rsidRPr="0000465F" w14:paraId="767B9934" w14:textId="77777777" w:rsidTr="00AC3CEB">
        <w:trPr>
          <w:trHeight w:val="853"/>
        </w:trPr>
        <w:tc>
          <w:tcPr>
            <w:tcW w:w="5537" w:type="dxa"/>
            <w:tcBorders>
              <w:top w:val="single" w:sz="18" w:space="0" w:color="00A8E5" w:themeColor="accent1"/>
              <w:right w:val="single" w:sz="2" w:space="0" w:color="58595B" w:themeColor="accent4"/>
            </w:tcBorders>
            <w:shd w:val="clear" w:color="auto" w:fill="F6F6F6"/>
          </w:tcPr>
          <w:p w14:paraId="6774D736" w14:textId="2FAF1BF7" w:rsidR="005B39FA" w:rsidRPr="0000465F" w:rsidRDefault="00624571" w:rsidP="005C55A2">
            <w:pPr>
              <w:pStyle w:val="AEMCTableBodyCopy"/>
              <w:numPr>
                <w:ilvl w:val="0"/>
                <w:numId w:val="6"/>
              </w:numPr>
              <w:rPr>
                <w:rStyle w:val="Hyperlink"/>
              </w:rPr>
            </w:pPr>
            <w:r>
              <w:t xml:space="preserve">Does the </w:t>
            </w:r>
            <w:r>
              <w:rPr>
                <w:rStyle w:val="proofreader-typo"/>
              </w:rPr>
              <w:t>NGR</w:t>
            </w:r>
            <w:r>
              <w:t xml:space="preserve"> restrict distributors’ ability to calculate heating values in different parts of the distribution system to accommodate the different uses of natural gas equivalent gases in the facilitated markets? </w:t>
            </w:r>
          </w:p>
        </w:tc>
        <w:tc>
          <w:tcPr>
            <w:tcW w:w="9934" w:type="dxa"/>
            <w:tcBorders>
              <w:top w:val="single" w:sz="18" w:space="0" w:color="00A8E5" w:themeColor="accent1"/>
              <w:left w:val="single" w:sz="2" w:space="0" w:color="58595B" w:themeColor="accent4"/>
            </w:tcBorders>
          </w:tcPr>
          <w:p w14:paraId="08711D3E" w14:textId="517F4B4B" w:rsidR="005B39FA" w:rsidRPr="00785222" w:rsidRDefault="005B39FA" w:rsidP="005C55A2">
            <w:pPr>
              <w:pStyle w:val="AEMCTableBodyCopy"/>
              <w:rPr>
                <w:rStyle w:val="Hyperlink"/>
              </w:rPr>
            </w:pPr>
          </w:p>
        </w:tc>
      </w:tr>
      <w:tr w:rsidR="005B39FA" w:rsidRPr="0000465F" w14:paraId="0E81DFD2" w14:textId="77777777" w:rsidTr="00AC3CEB">
        <w:trPr>
          <w:trHeight w:val="690"/>
        </w:trPr>
        <w:tc>
          <w:tcPr>
            <w:tcW w:w="5537" w:type="dxa"/>
            <w:tcBorders>
              <w:right w:val="single" w:sz="2" w:space="0" w:color="58595B" w:themeColor="accent4"/>
            </w:tcBorders>
            <w:shd w:val="clear" w:color="auto" w:fill="F6F6F6"/>
          </w:tcPr>
          <w:p w14:paraId="7EB15D3E" w14:textId="1568FF20" w:rsidR="005B39FA" w:rsidRPr="0000465F" w:rsidRDefault="00624571" w:rsidP="005C55A2">
            <w:pPr>
              <w:pStyle w:val="AEMCTableBodyCopy"/>
              <w:numPr>
                <w:ilvl w:val="0"/>
                <w:numId w:val="6"/>
              </w:numPr>
              <w:rPr>
                <w:rStyle w:val="Hyperlink"/>
              </w:rPr>
            </w:pPr>
            <w:r>
              <w:t xml:space="preserve">Are amendments required to the </w:t>
            </w:r>
            <w:r>
              <w:rPr>
                <w:rStyle w:val="proofreader-typo"/>
              </w:rPr>
              <w:t>NGR</w:t>
            </w:r>
            <w:r>
              <w:t xml:space="preserve"> to facilitate the determination of more granular heating values and any other matters relating to the metering provisions for the </w:t>
            </w:r>
            <w:r>
              <w:rPr>
                <w:rStyle w:val="proofreader-typo"/>
              </w:rPr>
              <w:t>DWGM</w:t>
            </w:r>
            <w:r>
              <w:t>? </w:t>
            </w:r>
          </w:p>
        </w:tc>
        <w:tc>
          <w:tcPr>
            <w:tcW w:w="9934" w:type="dxa"/>
            <w:tcBorders>
              <w:left w:val="single" w:sz="2" w:space="0" w:color="58595B" w:themeColor="accent4"/>
            </w:tcBorders>
          </w:tcPr>
          <w:p w14:paraId="75530F61" w14:textId="1B78624D" w:rsidR="005B39FA" w:rsidRPr="00785222" w:rsidRDefault="005B39FA" w:rsidP="005C55A2">
            <w:pPr>
              <w:pStyle w:val="AEMCTableBodyCopy"/>
              <w:rPr>
                <w:rStyle w:val="Hyperlink"/>
              </w:rPr>
            </w:pPr>
          </w:p>
        </w:tc>
      </w:tr>
    </w:tbl>
    <w:p w14:paraId="23D34F1A" w14:textId="76CA35F1" w:rsidR="00624571" w:rsidRPr="008A4886" w:rsidRDefault="00624571" w:rsidP="00624571">
      <w:pPr>
        <w:pStyle w:val="AEMCHeaderL4"/>
        <w:rPr>
          <w:rStyle w:val="Hyperlink"/>
        </w:rPr>
      </w:pPr>
      <w:r>
        <w:rPr>
          <w:rStyle w:val="Hyperlink"/>
          <w:b/>
        </w:rPr>
        <w:t xml:space="preserve">question 15 - </w:t>
      </w:r>
      <w:r w:rsidRPr="008A4886">
        <w:rPr>
          <w:rStyle w:val="Hyperlink"/>
          <w:b/>
        </w:rPr>
        <w:t xml:space="preserve">CHAPTER </w:t>
      </w:r>
      <w:r w:rsidR="008068B6">
        <w:rPr>
          <w:rStyle w:val="Hyperlink"/>
          <w:b/>
        </w:rPr>
        <w:t>5</w:t>
      </w:r>
      <w:r w:rsidRPr="008A4886">
        <w:rPr>
          <w:rStyle w:val="Hyperlink"/>
        </w:rPr>
        <w:t xml:space="preserve"> – </w:t>
      </w:r>
      <w:r>
        <w:rPr>
          <w:rStyle w:val="Hyperlink"/>
        </w:rPr>
        <w:t>gas specification in the faciliated markets</w:t>
      </w:r>
    </w:p>
    <w:tbl>
      <w:tblPr>
        <w:tblStyle w:val="TableGrid"/>
        <w:tblW w:w="15132"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415"/>
        <w:gridCol w:w="9717"/>
      </w:tblGrid>
      <w:tr w:rsidR="00624571" w:rsidRPr="0000465F" w14:paraId="6208E89F" w14:textId="77777777" w:rsidTr="00BE0E20">
        <w:trPr>
          <w:trHeight w:val="573"/>
        </w:trPr>
        <w:tc>
          <w:tcPr>
            <w:tcW w:w="5415" w:type="dxa"/>
            <w:tcBorders>
              <w:top w:val="single" w:sz="18" w:space="0" w:color="00A8E5" w:themeColor="accent1"/>
              <w:right w:val="single" w:sz="2" w:space="0" w:color="58595B" w:themeColor="accent4"/>
            </w:tcBorders>
            <w:shd w:val="clear" w:color="auto" w:fill="F6F6F6"/>
          </w:tcPr>
          <w:p w14:paraId="7C8E6E9C" w14:textId="73F85254" w:rsidR="00624571" w:rsidRPr="0000465F" w:rsidRDefault="00CA604D" w:rsidP="005C55A2">
            <w:pPr>
              <w:pStyle w:val="AEMCTableBodyCopy"/>
              <w:numPr>
                <w:ilvl w:val="0"/>
                <w:numId w:val="6"/>
              </w:numPr>
              <w:rPr>
                <w:rStyle w:val="Hyperlink"/>
              </w:rPr>
            </w:pPr>
            <w:r>
              <w:t xml:space="preserve">In relation to the </w:t>
            </w:r>
            <w:r>
              <w:rPr>
                <w:rStyle w:val="proofreader-typo"/>
              </w:rPr>
              <w:t>STTM</w:t>
            </w:r>
            <w:r>
              <w:t xml:space="preserve">, do you think Part 20 of the rules should be amended to clarify that AS 4564 – 2005 can be augmented or replaced to accommodate blending in certain parts of </w:t>
            </w:r>
            <w:r>
              <w:rPr>
                <w:rStyle w:val="proofreader-typo"/>
              </w:rPr>
              <w:t>STTM</w:t>
            </w:r>
            <w:r>
              <w:t xml:space="preserve"> distribution systems? Are any other changes required, including to accommodate impacts on connected transmission pipelines? </w:t>
            </w:r>
          </w:p>
        </w:tc>
        <w:tc>
          <w:tcPr>
            <w:tcW w:w="9717" w:type="dxa"/>
            <w:tcBorders>
              <w:top w:val="single" w:sz="18" w:space="0" w:color="00A8E5" w:themeColor="accent1"/>
              <w:left w:val="single" w:sz="2" w:space="0" w:color="58595B" w:themeColor="accent4"/>
            </w:tcBorders>
          </w:tcPr>
          <w:p w14:paraId="7F365286" w14:textId="745FE695" w:rsidR="00624571" w:rsidRPr="00785222" w:rsidRDefault="00624571" w:rsidP="005C55A2">
            <w:pPr>
              <w:pStyle w:val="AEMCTableBodyCopy"/>
              <w:rPr>
                <w:rStyle w:val="Hyperlink"/>
              </w:rPr>
            </w:pPr>
          </w:p>
        </w:tc>
      </w:tr>
      <w:tr w:rsidR="00624571" w:rsidRPr="0000465F" w14:paraId="15C74A44" w14:textId="77777777" w:rsidTr="00BE0E20">
        <w:trPr>
          <w:trHeight w:val="363"/>
        </w:trPr>
        <w:tc>
          <w:tcPr>
            <w:tcW w:w="5415" w:type="dxa"/>
            <w:tcBorders>
              <w:right w:val="single" w:sz="2" w:space="0" w:color="58595B" w:themeColor="accent4"/>
            </w:tcBorders>
            <w:shd w:val="clear" w:color="auto" w:fill="F6F6F6"/>
          </w:tcPr>
          <w:p w14:paraId="0AD1050A" w14:textId="6A58BB02" w:rsidR="00624571" w:rsidRPr="0000465F" w:rsidRDefault="00CA604D" w:rsidP="005C55A2">
            <w:pPr>
              <w:pStyle w:val="AEMCTableBodyCopy"/>
              <w:numPr>
                <w:ilvl w:val="0"/>
                <w:numId w:val="6"/>
              </w:numPr>
              <w:rPr>
                <w:rStyle w:val="Hyperlink"/>
              </w:rPr>
            </w:pPr>
            <w:r>
              <w:t xml:space="preserve">In relation to the </w:t>
            </w:r>
            <w:r>
              <w:rPr>
                <w:rStyle w:val="proofreader-typo"/>
              </w:rPr>
              <w:t>DWGM</w:t>
            </w:r>
            <w:r>
              <w:t>, do you think Part 19 of the rules should be amended to give AEMO (or another party) the ability to directly determine the gas specification on distribution systems? </w:t>
            </w:r>
          </w:p>
        </w:tc>
        <w:tc>
          <w:tcPr>
            <w:tcW w:w="9717" w:type="dxa"/>
            <w:tcBorders>
              <w:left w:val="single" w:sz="2" w:space="0" w:color="58595B" w:themeColor="accent4"/>
            </w:tcBorders>
          </w:tcPr>
          <w:p w14:paraId="0FBB0BFB" w14:textId="1E1DCE54" w:rsidR="00624571" w:rsidRPr="00785222" w:rsidRDefault="00624571" w:rsidP="005C55A2">
            <w:pPr>
              <w:pStyle w:val="AEMCTableBodyCopy"/>
              <w:rPr>
                <w:rStyle w:val="Hyperlink"/>
              </w:rPr>
            </w:pPr>
          </w:p>
        </w:tc>
      </w:tr>
    </w:tbl>
    <w:p w14:paraId="3B168788" w14:textId="77777777" w:rsidR="0096670A" w:rsidRDefault="0096670A" w:rsidP="00CA604D">
      <w:pPr>
        <w:pStyle w:val="AEMCHeaderL4"/>
        <w:rPr>
          <w:rStyle w:val="Hyperlink"/>
          <w:b/>
        </w:rPr>
      </w:pPr>
    </w:p>
    <w:p w14:paraId="229C43B3" w14:textId="77777777" w:rsidR="0096670A" w:rsidRDefault="0096670A">
      <w:pPr>
        <w:spacing w:line="259" w:lineRule="auto"/>
        <w:rPr>
          <w:rStyle w:val="Hyperlink"/>
          <w:rFonts w:cs="Times New Roman (Body CS)"/>
          <w:b/>
          <w:caps/>
          <w:color w:val="00A8E5" w:themeColor="accent1"/>
          <w:sz w:val="22"/>
          <w:szCs w:val="24"/>
        </w:rPr>
      </w:pPr>
      <w:r>
        <w:rPr>
          <w:rStyle w:val="Hyperlink"/>
          <w:b/>
        </w:rPr>
        <w:br w:type="page"/>
      </w:r>
    </w:p>
    <w:p w14:paraId="2D7B71E0" w14:textId="6A5A3B27" w:rsidR="00CA604D" w:rsidRPr="008A4886" w:rsidRDefault="00CA604D" w:rsidP="00CA604D">
      <w:pPr>
        <w:pStyle w:val="AEMCHeaderL4"/>
        <w:rPr>
          <w:rStyle w:val="Hyperlink"/>
        </w:rPr>
      </w:pPr>
      <w:r>
        <w:rPr>
          <w:rStyle w:val="Hyperlink"/>
          <w:b/>
        </w:rPr>
        <w:lastRenderedPageBreak/>
        <w:t>questio</w:t>
      </w:r>
      <w:r w:rsidR="00F733B8">
        <w:rPr>
          <w:rStyle w:val="Hyperlink"/>
          <w:b/>
        </w:rPr>
        <w:t xml:space="preserve">n </w:t>
      </w:r>
      <w:r w:rsidR="008068B6">
        <w:rPr>
          <w:rStyle w:val="Hyperlink"/>
          <w:b/>
        </w:rPr>
        <w:t xml:space="preserve">16 </w:t>
      </w:r>
      <w:r w:rsidR="00F733B8">
        <w:rPr>
          <w:rStyle w:val="Hyperlink"/>
          <w:b/>
        </w:rPr>
        <w:t xml:space="preserve">- </w:t>
      </w:r>
      <w:r w:rsidRPr="008A4886">
        <w:rPr>
          <w:rStyle w:val="Hyperlink"/>
          <w:b/>
        </w:rPr>
        <w:t xml:space="preserve">CHAPTER </w:t>
      </w:r>
      <w:r w:rsidR="008068B6">
        <w:rPr>
          <w:rStyle w:val="Hyperlink"/>
          <w:b/>
        </w:rPr>
        <w:t>5</w:t>
      </w:r>
      <w:r w:rsidRPr="008A4886">
        <w:rPr>
          <w:rStyle w:val="Hyperlink"/>
        </w:rPr>
        <w:t xml:space="preserve"> – </w:t>
      </w:r>
      <w:r w:rsidR="00F733B8">
        <w:rPr>
          <w:rStyle w:val="Hyperlink"/>
        </w:rPr>
        <w:t>bl</w:t>
      </w:r>
      <w:r w:rsidR="007A38E5">
        <w:rPr>
          <w:rStyle w:val="Hyperlink"/>
        </w:rPr>
        <w:t>e</w:t>
      </w:r>
      <w:r w:rsidR="00F733B8">
        <w:rPr>
          <w:rStyle w:val="Hyperlink"/>
        </w:rPr>
        <w:t>nding constraints in the facilitated markets</w:t>
      </w:r>
    </w:p>
    <w:tbl>
      <w:tblPr>
        <w:tblStyle w:val="TableGrid"/>
        <w:tblW w:w="15225"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302"/>
        <w:gridCol w:w="9923"/>
      </w:tblGrid>
      <w:tr w:rsidR="00CA604D" w:rsidRPr="0000465F" w14:paraId="6AF16AB2" w14:textId="77777777" w:rsidTr="00BE0E20">
        <w:tc>
          <w:tcPr>
            <w:tcW w:w="5302" w:type="dxa"/>
            <w:tcBorders>
              <w:top w:val="single" w:sz="18" w:space="0" w:color="00A8E5" w:themeColor="accent1"/>
              <w:right w:val="single" w:sz="2" w:space="0" w:color="58595B" w:themeColor="accent4"/>
            </w:tcBorders>
            <w:shd w:val="clear" w:color="auto" w:fill="F6F6F6"/>
          </w:tcPr>
          <w:p w14:paraId="73CC62A2" w14:textId="51A809CC" w:rsidR="00CA604D" w:rsidRPr="0000465F" w:rsidRDefault="007A38E5" w:rsidP="005C55A2">
            <w:pPr>
              <w:pStyle w:val="AEMCTableBodyCopy"/>
              <w:numPr>
                <w:ilvl w:val="0"/>
                <w:numId w:val="6"/>
              </w:numPr>
              <w:rPr>
                <w:rStyle w:val="Hyperlink"/>
              </w:rPr>
            </w:pPr>
            <w:r>
              <w:t>Who should be responsible for the creation of natural gas equivalent blends and ensuring that these remain consistent with a revised gas specification? </w:t>
            </w:r>
          </w:p>
        </w:tc>
        <w:tc>
          <w:tcPr>
            <w:tcW w:w="9923" w:type="dxa"/>
            <w:tcBorders>
              <w:top w:val="single" w:sz="18" w:space="0" w:color="00A8E5" w:themeColor="accent1"/>
              <w:left w:val="single" w:sz="2" w:space="0" w:color="58595B" w:themeColor="accent4"/>
            </w:tcBorders>
          </w:tcPr>
          <w:p w14:paraId="02F0CCE7" w14:textId="4DE3EB83" w:rsidR="00CA604D" w:rsidRPr="00785222" w:rsidRDefault="00CA604D" w:rsidP="005C55A2">
            <w:pPr>
              <w:pStyle w:val="AEMCTableBodyCopy"/>
              <w:rPr>
                <w:rStyle w:val="Hyperlink"/>
              </w:rPr>
            </w:pPr>
          </w:p>
        </w:tc>
      </w:tr>
      <w:tr w:rsidR="00CA604D" w:rsidRPr="0000465F" w14:paraId="7D545770" w14:textId="77777777" w:rsidTr="00BE0E20">
        <w:tc>
          <w:tcPr>
            <w:tcW w:w="5302" w:type="dxa"/>
            <w:tcBorders>
              <w:right w:val="single" w:sz="2" w:space="0" w:color="58595B" w:themeColor="accent4"/>
            </w:tcBorders>
            <w:shd w:val="clear" w:color="auto" w:fill="F6F6F6"/>
          </w:tcPr>
          <w:p w14:paraId="4A971205" w14:textId="51B28946" w:rsidR="00CA604D" w:rsidRPr="0000465F" w:rsidRDefault="007A38E5" w:rsidP="005C55A2">
            <w:pPr>
              <w:pStyle w:val="AEMCTableBodyCopy"/>
              <w:numPr>
                <w:ilvl w:val="0"/>
                <w:numId w:val="6"/>
              </w:numPr>
              <w:rPr>
                <w:rStyle w:val="Hyperlink"/>
              </w:rPr>
            </w:pPr>
            <w:r>
              <w:t xml:space="preserve">In the </w:t>
            </w:r>
            <w:r>
              <w:rPr>
                <w:rStyle w:val="proofreader-typo"/>
              </w:rPr>
              <w:t>DWGM</w:t>
            </w:r>
            <w:r>
              <w:t>, should AEMO be given operational control over the distribution system to manage blending constraints? If so, what changes to the rules would be required? </w:t>
            </w:r>
          </w:p>
        </w:tc>
        <w:tc>
          <w:tcPr>
            <w:tcW w:w="9923" w:type="dxa"/>
            <w:tcBorders>
              <w:left w:val="single" w:sz="2" w:space="0" w:color="58595B" w:themeColor="accent4"/>
            </w:tcBorders>
          </w:tcPr>
          <w:p w14:paraId="209B3531" w14:textId="3BCEEA8A" w:rsidR="00CA604D" w:rsidRPr="00785222" w:rsidRDefault="00CA604D" w:rsidP="005C55A2">
            <w:pPr>
              <w:pStyle w:val="AEMCTableBodyCopy"/>
              <w:rPr>
                <w:rStyle w:val="Hyperlink"/>
              </w:rPr>
            </w:pPr>
          </w:p>
        </w:tc>
      </w:tr>
    </w:tbl>
    <w:p w14:paraId="4B3E4C87" w14:textId="3BD67888" w:rsidR="007210DD" w:rsidRPr="008A4886" w:rsidRDefault="007210DD" w:rsidP="007210DD">
      <w:pPr>
        <w:pStyle w:val="AEMCHeaderL4"/>
        <w:rPr>
          <w:rStyle w:val="Hyperlink"/>
        </w:rPr>
      </w:pPr>
      <w:r>
        <w:rPr>
          <w:rStyle w:val="Hyperlink"/>
          <w:b/>
        </w:rPr>
        <w:t xml:space="preserve">question </w:t>
      </w:r>
      <w:r w:rsidR="008068B6">
        <w:rPr>
          <w:rStyle w:val="Hyperlink"/>
          <w:b/>
        </w:rPr>
        <w:t xml:space="preserve">17 </w:t>
      </w:r>
      <w:r>
        <w:rPr>
          <w:rStyle w:val="Hyperlink"/>
          <w:b/>
        </w:rPr>
        <w:t xml:space="preserve">- </w:t>
      </w:r>
      <w:r w:rsidRPr="008A4886">
        <w:rPr>
          <w:rStyle w:val="Hyperlink"/>
          <w:b/>
        </w:rPr>
        <w:t xml:space="preserve">CHAPTER </w:t>
      </w:r>
      <w:r w:rsidR="008068B6">
        <w:rPr>
          <w:rStyle w:val="Hyperlink"/>
          <w:b/>
        </w:rPr>
        <w:t>5</w:t>
      </w:r>
      <w:r w:rsidRPr="008A4886">
        <w:rPr>
          <w:rStyle w:val="Hyperlink"/>
        </w:rPr>
        <w:t xml:space="preserve"> – </w:t>
      </w:r>
      <w:r>
        <w:rPr>
          <w:rStyle w:val="Hyperlink"/>
        </w:rPr>
        <w:t>other id</w:t>
      </w:r>
      <w:r w:rsidR="00C14027">
        <w:rPr>
          <w:rStyle w:val="Hyperlink"/>
        </w:rPr>
        <w:t>e</w:t>
      </w:r>
      <w:r>
        <w:rPr>
          <w:rStyle w:val="Hyperlink"/>
        </w:rPr>
        <w:t>ntified issues in the f</w:t>
      </w:r>
      <w:r w:rsidR="0061069B">
        <w:rPr>
          <w:rStyle w:val="Hyperlink"/>
        </w:rPr>
        <w:t>a</w:t>
      </w:r>
      <w:r>
        <w:rPr>
          <w:rStyle w:val="Hyperlink"/>
        </w:rPr>
        <w:t>cili</w:t>
      </w:r>
      <w:r w:rsidR="0061069B">
        <w:rPr>
          <w:rStyle w:val="Hyperlink"/>
        </w:rPr>
        <w:t>t</w:t>
      </w:r>
      <w:r>
        <w:rPr>
          <w:rStyle w:val="Hyperlink"/>
        </w:rPr>
        <w:t>ated gas markets</w:t>
      </w:r>
    </w:p>
    <w:tbl>
      <w:tblPr>
        <w:tblStyle w:val="TableGrid"/>
        <w:tblW w:w="15471"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7"/>
        <w:gridCol w:w="9934"/>
      </w:tblGrid>
      <w:tr w:rsidR="007210DD" w:rsidRPr="0000465F" w14:paraId="0AD944DD" w14:textId="77777777" w:rsidTr="00AC3CEB">
        <w:trPr>
          <w:trHeight w:val="731"/>
        </w:trPr>
        <w:tc>
          <w:tcPr>
            <w:tcW w:w="5537" w:type="dxa"/>
            <w:tcBorders>
              <w:top w:val="single" w:sz="18" w:space="0" w:color="00A8E5" w:themeColor="accent1"/>
              <w:right w:val="single" w:sz="2" w:space="0" w:color="58595B" w:themeColor="accent4"/>
            </w:tcBorders>
            <w:shd w:val="clear" w:color="auto" w:fill="F6F6F6"/>
          </w:tcPr>
          <w:p w14:paraId="300AA6EB" w14:textId="3CBB79D3" w:rsidR="007210DD" w:rsidRPr="0000465F" w:rsidRDefault="006662EF" w:rsidP="005C55A2">
            <w:pPr>
              <w:pStyle w:val="AEMCTableBodyCopy"/>
              <w:numPr>
                <w:ilvl w:val="0"/>
                <w:numId w:val="6"/>
              </w:numPr>
              <w:rPr>
                <w:rStyle w:val="Hyperlink"/>
              </w:rPr>
            </w:pPr>
            <w:r>
              <w:t xml:space="preserve">Do the identified issues in the </w:t>
            </w:r>
            <w:r>
              <w:rPr>
                <w:rStyle w:val="proofreader-typo"/>
              </w:rPr>
              <w:t>NGR</w:t>
            </w:r>
            <w:r>
              <w:t xml:space="preserve"> and changes required cover all necessary changes to facilitate the trade of natural gas equivalents in the </w:t>
            </w:r>
            <w:r>
              <w:rPr>
                <w:rStyle w:val="proofreader-typo"/>
              </w:rPr>
              <w:t>DWGM</w:t>
            </w:r>
            <w:r>
              <w:t xml:space="preserve"> and </w:t>
            </w:r>
            <w:r>
              <w:rPr>
                <w:rStyle w:val="proofreader-typo"/>
              </w:rPr>
              <w:t>STTM</w:t>
            </w:r>
            <w:r>
              <w:t>? </w:t>
            </w:r>
          </w:p>
        </w:tc>
        <w:tc>
          <w:tcPr>
            <w:tcW w:w="9934" w:type="dxa"/>
            <w:tcBorders>
              <w:top w:val="single" w:sz="18" w:space="0" w:color="00A8E5" w:themeColor="accent1"/>
              <w:left w:val="single" w:sz="2" w:space="0" w:color="58595B" w:themeColor="accent4"/>
            </w:tcBorders>
          </w:tcPr>
          <w:p w14:paraId="23B250FA" w14:textId="17B204CA" w:rsidR="007210DD" w:rsidRPr="00785222" w:rsidRDefault="007210DD" w:rsidP="005C55A2">
            <w:pPr>
              <w:pStyle w:val="AEMCTableBodyCopy"/>
              <w:rPr>
                <w:rStyle w:val="Hyperlink"/>
              </w:rPr>
            </w:pPr>
          </w:p>
        </w:tc>
      </w:tr>
      <w:tr w:rsidR="007210DD" w:rsidRPr="0000465F" w14:paraId="2FA2EBAD" w14:textId="77777777" w:rsidTr="00AC3CEB">
        <w:trPr>
          <w:trHeight w:val="394"/>
        </w:trPr>
        <w:tc>
          <w:tcPr>
            <w:tcW w:w="5537" w:type="dxa"/>
            <w:tcBorders>
              <w:right w:val="single" w:sz="2" w:space="0" w:color="58595B" w:themeColor="accent4"/>
            </w:tcBorders>
            <w:shd w:val="clear" w:color="auto" w:fill="F6F6F6"/>
          </w:tcPr>
          <w:p w14:paraId="4C33950C" w14:textId="67BB9B3A" w:rsidR="007210DD" w:rsidRPr="0000465F" w:rsidRDefault="006662EF" w:rsidP="005C55A2">
            <w:pPr>
              <w:pStyle w:val="AEMCTableBodyCopy"/>
              <w:numPr>
                <w:ilvl w:val="0"/>
                <w:numId w:val="6"/>
              </w:numPr>
              <w:rPr>
                <w:rStyle w:val="Hyperlink"/>
              </w:rPr>
            </w:pPr>
            <w:r>
              <w:t>Are there any other issues the Commission should be aware of?</w:t>
            </w:r>
          </w:p>
        </w:tc>
        <w:tc>
          <w:tcPr>
            <w:tcW w:w="9934" w:type="dxa"/>
            <w:tcBorders>
              <w:left w:val="single" w:sz="2" w:space="0" w:color="58595B" w:themeColor="accent4"/>
            </w:tcBorders>
          </w:tcPr>
          <w:p w14:paraId="71E9C120" w14:textId="3EF6A8AF" w:rsidR="007210DD" w:rsidRPr="00785222" w:rsidRDefault="007210DD" w:rsidP="005C55A2">
            <w:pPr>
              <w:pStyle w:val="AEMCTableBodyCopy"/>
              <w:rPr>
                <w:rStyle w:val="Hyperlink"/>
              </w:rPr>
            </w:pPr>
          </w:p>
        </w:tc>
      </w:tr>
      <w:tr w:rsidR="006662EF" w:rsidRPr="0000465F" w14:paraId="51CAA1A4" w14:textId="77777777" w:rsidTr="00AC3CEB">
        <w:trPr>
          <w:trHeight w:val="846"/>
        </w:trPr>
        <w:tc>
          <w:tcPr>
            <w:tcW w:w="5537" w:type="dxa"/>
            <w:tcBorders>
              <w:right w:val="single" w:sz="2" w:space="0" w:color="58595B" w:themeColor="accent4"/>
            </w:tcBorders>
            <w:shd w:val="clear" w:color="auto" w:fill="F6F6F6"/>
          </w:tcPr>
          <w:p w14:paraId="314CD26A" w14:textId="6845F77F" w:rsidR="006662EF" w:rsidRDefault="00B579DB" w:rsidP="005C55A2">
            <w:pPr>
              <w:pStyle w:val="AEMCTableBodyCopy"/>
              <w:numPr>
                <w:ilvl w:val="0"/>
                <w:numId w:val="6"/>
              </w:numPr>
            </w:pPr>
            <w:r>
              <w:t xml:space="preserve">Are </w:t>
            </w:r>
            <w:proofErr w:type="gramStart"/>
            <w:r>
              <w:t>all of</w:t>
            </w:r>
            <w:proofErr w:type="gramEnd"/>
            <w:r>
              <w:t xml:space="preserve"> these changes required now for </w:t>
            </w:r>
            <w:r w:rsidR="003E09FF">
              <w:t xml:space="preserve">natural </w:t>
            </w:r>
            <w:r>
              <w:t xml:space="preserve">gas equivalents? Could some of these changes be made </w:t>
            </w:r>
            <w:proofErr w:type="gramStart"/>
            <w:r>
              <w:t>at a later date</w:t>
            </w:r>
            <w:proofErr w:type="gramEnd"/>
            <w:r>
              <w:t>, or when other gas products are taken into consideration? </w:t>
            </w:r>
          </w:p>
        </w:tc>
        <w:tc>
          <w:tcPr>
            <w:tcW w:w="9934" w:type="dxa"/>
            <w:tcBorders>
              <w:left w:val="single" w:sz="2" w:space="0" w:color="58595B" w:themeColor="accent4"/>
            </w:tcBorders>
          </w:tcPr>
          <w:p w14:paraId="6B30FF9A" w14:textId="77777777" w:rsidR="006662EF" w:rsidRPr="00785222" w:rsidRDefault="006662EF" w:rsidP="005C55A2">
            <w:pPr>
              <w:pStyle w:val="AEMCTableBodyCopy"/>
              <w:rPr>
                <w:rStyle w:val="Hyperlink"/>
              </w:rPr>
            </w:pPr>
          </w:p>
        </w:tc>
      </w:tr>
      <w:tr w:rsidR="006662EF" w:rsidRPr="0000465F" w14:paraId="6BB948E7" w14:textId="77777777" w:rsidTr="00AC3CEB">
        <w:trPr>
          <w:trHeight w:val="292"/>
        </w:trPr>
        <w:tc>
          <w:tcPr>
            <w:tcW w:w="5537" w:type="dxa"/>
            <w:tcBorders>
              <w:right w:val="single" w:sz="2" w:space="0" w:color="58595B" w:themeColor="accent4"/>
            </w:tcBorders>
            <w:shd w:val="clear" w:color="auto" w:fill="F6F6F6"/>
          </w:tcPr>
          <w:p w14:paraId="57FC9526" w14:textId="2621AD29" w:rsidR="006662EF" w:rsidRDefault="00B579DB" w:rsidP="005C55A2">
            <w:pPr>
              <w:pStyle w:val="AEMCTableBodyCopy"/>
              <w:numPr>
                <w:ilvl w:val="0"/>
                <w:numId w:val="6"/>
              </w:numPr>
            </w:pPr>
            <w:r>
              <w:t>Are there any transitional issues?</w:t>
            </w:r>
          </w:p>
        </w:tc>
        <w:tc>
          <w:tcPr>
            <w:tcW w:w="9934" w:type="dxa"/>
            <w:tcBorders>
              <w:left w:val="single" w:sz="2" w:space="0" w:color="58595B" w:themeColor="accent4"/>
            </w:tcBorders>
          </w:tcPr>
          <w:p w14:paraId="0FF2ABE6" w14:textId="77777777" w:rsidR="006662EF" w:rsidRPr="00785222" w:rsidRDefault="006662EF" w:rsidP="005C55A2">
            <w:pPr>
              <w:pStyle w:val="AEMCTableBodyCopy"/>
              <w:rPr>
                <w:rStyle w:val="Hyperlink"/>
              </w:rPr>
            </w:pPr>
          </w:p>
        </w:tc>
      </w:tr>
    </w:tbl>
    <w:p w14:paraId="59975286" w14:textId="77777777" w:rsidR="00EE07C9" w:rsidRDefault="00EE07C9" w:rsidP="00544A89">
      <w:pPr>
        <w:pStyle w:val="AEMCHeaderL4"/>
        <w:rPr>
          <w:rStyle w:val="Hyperlink"/>
          <w:b/>
        </w:rPr>
      </w:pPr>
    </w:p>
    <w:p w14:paraId="1A37104A" w14:textId="77777777" w:rsidR="00EE07C9" w:rsidRDefault="00EE07C9">
      <w:pPr>
        <w:spacing w:line="259" w:lineRule="auto"/>
        <w:rPr>
          <w:rStyle w:val="Hyperlink"/>
          <w:rFonts w:cs="Times New Roman (Body CS)"/>
          <w:b/>
          <w:caps/>
          <w:color w:val="00A8E5" w:themeColor="accent1"/>
          <w:sz w:val="22"/>
          <w:szCs w:val="24"/>
        </w:rPr>
      </w:pPr>
      <w:r>
        <w:rPr>
          <w:rStyle w:val="Hyperlink"/>
          <w:b/>
        </w:rPr>
        <w:br w:type="page"/>
      </w:r>
    </w:p>
    <w:p w14:paraId="2B8030FF" w14:textId="1D45CF86" w:rsidR="00544A89" w:rsidRPr="008A4886" w:rsidRDefault="00544A89" w:rsidP="00544A89">
      <w:pPr>
        <w:pStyle w:val="AEMCHeaderL4"/>
        <w:rPr>
          <w:rStyle w:val="Hyperlink"/>
        </w:rPr>
      </w:pPr>
      <w:r>
        <w:rPr>
          <w:rStyle w:val="Hyperlink"/>
          <w:b/>
        </w:rPr>
        <w:lastRenderedPageBreak/>
        <w:t xml:space="preserve">question 18 </w:t>
      </w:r>
      <w:r w:rsidR="009B64AA">
        <w:rPr>
          <w:rStyle w:val="Hyperlink"/>
          <w:b/>
        </w:rPr>
        <w:t>–</w:t>
      </w:r>
      <w:r>
        <w:rPr>
          <w:rStyle w:val="Hyperlink"/>
          <w:b/>
        </w:rPr>
        <w:t xml:space="preserve"> </w:t>
      </w:r>
      <w:r w:rsidRPr="008A4886">
        <w:rPr>
          <w:rStyle w:val="Hyperlink"/>
          <w:b/>
        </w:rPr>
        <w:t>CHAPTER</w:t>
      </w:r>
      <w:r w:rsidR="009B64AA">
        <w:rPr>
          <w:rStyle w:val="Hyperlink"/>
          <w:b/>
        </w:rPr>
        <w:t xml:space="preserve"> </w:t>
      </w:r>
      <w:r w:rsidR="008068B6">
        <w:rPr>
          <w:rStyle w:val="Hyperlink"/>
          <w:b/>
        </w:rPr>
        <w:t>6</w:t>
      </w:r>
      <w:r w:rsidRPr="008A4886">
        <w:rPr>
          <w:rStyle w:val="Hyperlink"/>
        </w:rPr>
        <w:t xml:space="preserve"> </w:t>
      </w:r>
      <w:r w:rsidR="00CE10D1" w:rsidRPr="008A4886">
        <w:rPr>
          <w:rStyle w:val="Hyperlink"/>
        </w:rPr>
        <w:t xml:space="preserve">– </w:t>
      </w:r>
      <w:r w:rsidR="00CE10D1">
        <w:rPr>
          <w:rStyle w:val="Hyperlink"/>
        </w:rPr>
        <w:t>INITIAL</w:t>
      </w:r>
      <w:r w:rsidR="009B64AA">
        <w:rPr>
          <w:rStyle w:val="Hyperlink"/>
        </w:rPr>
        <w:t xml:space="preserve"> </w:t>
      </w:r>
      <w:r w:rsidR="00D8527C">
        <w:rPr>
          <w:rStyle w:val="Hyperlink"/>
        </w:rPr>
        <w:t>identified issues</w:t>
      </w:r>
      <w:r w:rsidR="009B64AA">
        <w:rPr>
          <w:rStyle w:val="Hyperlink"/>
        </w:rPr>
        <w:t xml:space="preserve"> in the regulated retail mar</w:t>
      </w:r>
      <w:r w:rsidR="00A6231C">
        <w:rPr>
          <w:rStyle w:val="Hyperlink"/>
        </w:rPr>
        <w:t>kets</w:t>
      </w:r>
    </w:p>
    <w:tbl>
      <w:tblPr>
        <w:tblStyle w:val="TableGrid"/>
        <w:tblW w:w="15471"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7"/>
        <w:gridCol w:w="9934"/>
      </w:tblGrid>
      <w:tr w:rsidR="00544A89" w:rsidRPr="0000465F" w14:paraId="78DC8A50" w14:textId="77777777" w:rsidTr="00AC3CEB">
        <w:trPr>
          <w:trHeight w:val="316"/>
        </w:trPr>
        <w:tc>
          <w:tcPr>
            <w:tcW w:w="5537" w:type="dxa"/>
            <w:tcBorders>
              <w:top w:val="single" w:sz="18" w:space="0" w:color="00A8E5" w:themeColor="accent1"/>
              <w:right w:val="single" w:sz="2" w:space="0" w:color="58595B" w:themeColor="accent4"/>
            </w:tcBorders>
            <w:shd w:val="clear" w:color="auto" w:fill="F6F6F6"/>
          </w:tcPr>
          <w:p w14:paraId="6FE47B3A" w14:textId="6C37AE8A" w:rsidR="00544A89" w:rsidRPr="0000465F" w:rsidRDefault="00A6231C" w:rsidP="005C55A2">
            <w:pPr>
              <w:pStyle w:val="AEMCTableBodyCopy"/>
              <w:numPr>
                <w:ilvl w:val="0"/>
                <w:numId w:val="6"/>
              </w:numPr>
              <w:rPr>
                <w:rStyle w:val="Hyperlink"/>
              </w:rPr>
            </w:pPr>
            <w:r>
              <w:t>Are changes to the retail market registration provisions required to accommodate natural gas equivalents?</w:t>
            </w:r>
          </w:p>
        </w:tc>
        <w:tc>
          <w:tcPr>
            <w:tcW w:w="9934" w:type="dxa"/>
            <w:tcBorders>
              <w:top w:val="single" w:sz="18" w:space="0" w:color="00A8E5" w:themeColor="accent1"/>
              <w:left w:val="single" w:sz="2" w:space="0" w:color="58595B" w:themeColor="accent4"/>
            </w:tcBorders>
          </w:tcPr>
          <w:p w14:paraId="2B58630C" w14:textId="078CC88E" w:rsidR="00544A89" w:rsidRPr="00785222" w:rsidRDefault="00544A89" w:rsidP="005C55A2">
            <w:pPr>
              <w:pStyle w:val="AEMCTableBodyCopy"/>
              <w:rPr>
                <w:rStyle w:val="Hyperlink"/>
              </w:rPr>
            </w:pPr>
          </w:p>
        </w:tc>
      </w:tr>
      <w:tr w:rsidR="00544A89" w:rsidRPr="0000465F" w14:paraId="433BF23E" w14:textId="77777777" w:rsidTr="00AC3CEB">
        <w:trPr>
          <w:trHeight w:val="396"/>
        </w:trPr>
        <w:tc>
          <w:tcPr>
            <w:tcW w:w="5537" w:type="dxa"/>
            <w:tcBorders>
              <w:right w:val="single" w:sz="2" w:space="0" w:color="58595B" w:themeColor="accent4"/>
            </w:tcBorders>
            <w:shd w:val="clear" w:color="auto" w:fill="F6F6F6"/>
          </w:tcPr>
          <w:p w14:paraId="3FB31FCA" w14:textId="37A046E2" w:rsidR="00544A89" w:rsidRPr="0000465F" w:rsidRDefault="00A6231C" w:rsidP="005C55A2">
            <w:pPr>
              <w:pStyle w:val="AEMCTableBodyCopy"/>
              <w:numPr>
                <w:ilvl w:val="0"/>
                <w:numId w:val="6"/>
              </w:numPr>
              <w:rPr>
                <w:rStyle w:val="Hyperlink"/>
              </w:rPr>
            </w:pPr>
            <w:r>
              <w:t xml:space="preserve">Are there any other changes required to the retail market provisions in the </w:t>
            </w:r>
            <w:r>
              <w:rPr>
                <w:rStyle w:val="proofreader-typo"/>
              </w:rPr>
              <w:t>NGR</w:t>
            </w:r>
            <w:r>
              <w:t xml:space="preserve"> to accommodate natural gas equivalents? </w:t>
            </w:r>
          </w:p>
        </w:tc>
        <w:tc>
          <w:tcPr>
            <w:tcW w:w="9934" w:type="dxa"/>
            <w:tcBorders>
              <w:left w:val="single" w:sz="2" w:space="0" w:color="58595B" w:themeColor="accent4"/>
            </w:tcBorders>
          </w:tcPr>
          <w:p w14:paraId="55D7649E" w14:textId="5D9DBDF2" w:rsidR="00544A89" w:rsidRPr="00785222" w:rsidRDefault="00544A89" w:rsidP="005C55A2">
            <w:pPr>
              <w:pStyle w:val="AEMCTableBodyCopy"/>
              <w:rPr>
                <w:rStyle w:val="Hyperlink"/>
              </w:rPr>
            </w:pPr>
          </w:p>
        </w:tc>
      </w:tr>
    </w:tbl>
    <w:p w14:paraId="4C251220" w14:textId="16DEA0C1" w:rsidR="00A6231C" w:rsidRPr="008A4886" w:rsidRDefault="00A6231C" w:rsidP="00A6231C">
      <w:pPr>
        <w:pStyle w:val="AEMCHeaderL4"/>
        <w:rPr>
          <w:rStyle w:val="Hyperlink"/>
        </w:rPr>
      </w:pPr>
      <w:r>
        <w:rPr>
          <w:rStyle w:val="Hyperlink"/>
          <w:b/>
        </w:rPr>
        <w:t xml:space="preserve">question 19 – </w:t>
      </w:r>
      <w:r w:rsidRPr="008A4886">
        <w:rPr>
          <w:rStyle w:val="Hyperlink"/>
          <w:b/>
        </w:rPr>
        <w:t>CHAPTER</w:t>
      </w:r>
      <w:r>
        <w:rPr>
          <w:rStyle w:val="Hyperlink"/>
          <w:b/>
        </w:rPr>
        <w:t xml:space="preserve"> </w:t>
      </w:r>
      <w:r w:rsidR="008068B6">
        <w:rPr>
          <w:rStyle w:val="Hyperlink"/>
          <w:b/>
        </w:rPr>
        <w:t>6</w:t>
      </w:r>
      <w:r w:rsidRPr="008A4886">
        <w:rPr>
          <w:rStyle w:val="Hyperlink"/>
        </w:rPr>
        <w:t xml:space="preserve"> – </w:t>
      </w:r>
      <w:r>
        <w:rPr>
          <w:rStyle w:val="Hyperlink"/>
        </w:rPr>
        <w:t xml:space="preserve">other potential </w:t>
      </w:r>
      <w:r w:rsidR="00D8527C">
        <w:rPr>
          <w:rStyle w:val="Hyperlink"/>
        </w:rPr>
        <w:t xml:space="preserve">issues </w:t>
      </w:r>
      <w:r>
        <w:rPr>
          <w:rStyle w:val="Hyperlink"/>
        </w:rPr>
        <w:t>in the</w:t>
      </w:r>
      <w:r w:rsidR="00CE10D1">
        <w:rPr>
          <w:rStyle w:val="Hyperlink"/>
        </w:rPr>
        <w:t xml:space="preserve"> </w:t>
      </w:r>
      <w:r>
        <w:rPr>
          <w:rStyle w:val="Hyperlink"/>
        </w:rPr>
        <w:t xml:space="preserve">regulated retail markets </w:t>
      </w:r>
    </w:p>
    <w:tbl>
      <w:tblPr>
        <w:tblStyle w:val="TableGrid"/>
        <w:tblW w:w="15471"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537"/>
        <w:gridCol w:w="9934"/>
      </w:tblGrid>
      <w:tr w:rsidR="00A6231C" w:rsidRPr="0000465F" w14:paraId="120F84C6" w14:textId="77777777" w:rsidTr="00CE10D1">
        <w:trPr>
          <w:trHeight w:val="300"/>
        </w:trPr>
        <w:tc>
          <w:tcPr>
            <w:tcW w:w="5537" w:type="dxa"/>
            <w:tcBorders>
              <w:top w:val="single" w:sz="18" w:space="0" w:color="00A8E5" w:themeColor="accent1"/>
              <w:right w:val="single" w:sz="2" w:space="0" w:color="58595B" w:themeColor="accent4"/>
            </w:tcBorders>
            <w:shd w:val="clear" w:color="auto" w:fill="F6F6F6"/>
          </w:tcPr>
          <w:p w14:paraId="453526EC" w14:textId="58A6AA32" w:rsidR="00A6231C" w:rsidRPr="0000465F" w:rsidRDefault="008B090B" w:rsidP="005C55A2">
            <w:pPr>
              <w:pStyle w:val="AEMCTableBodyCopy"/>
              <w:numPr>
                <w:ilvl w:val="0"/>
                <w:numId w:val="6"/>
              </w:numPr>
              <w:rPr>
                <w:rStyle w:val="Hyperlink"/>
              </w:rPr>
            </w:pPr>
            <w:r>
              <w:t xml:space="preserve">Are there any issues the </w:t>
            </w:r>
            <w:r>
              <w:rPr>
                <w:rStyle w:val="proofreader-typo"/>
              </w:rPr>
              <w:t>AEMC</w:t>
            </w:r>
            <w:r>
              <w:t xml:space="preserve"> should consider in relation to the recovery of the cost of the renewable component of the natural gas equivalent from retail customers, for a natural gas equivalent?</w:t>
            </w:r>
          </w:p>
        </w:tc>
        <w:tc>
          <w:tcPr>
            <w:tcW w:w="9934" w:type="dxa"/>
            <w:tcBorders>
              <w:top w:val="single" w:sz="18" w:space="0" w:color="00A8E5" w:themeColor="accent1"/>
              <w:left w:val="single" w:sz="2" w:space="0" w:color="58595B" w:themeColor="accent4"/>
            </w:tcBorders>
          </w:tcPr>
          <w:p w14:paraId="232308A6" w14:textId="4B1AC8FF" w:rsidR="00A6231C" w:rsidRPr="00785222" w:rsidRDefault="00A6231C" w:rsidP="005C55A2">
            <w:pPr>
              <w:pStyle w:val="AEMCTableBodyCopy"/>
              <w:rPr>
                <w:rStyle w:val="Hyperlink"/>
              </w:rPr>
            </w:pPr>
          </w:p>
        </w:tc>
      </w:tr>
      <w:tr w:rsidR="00A6231C" w:rsidRPr="0000465F" w14:paraId="3ACC7EEA" w14:textId="77777777" w:rsidTr="00CE10D1">
        <w:trPr>
          <w:trHeight w:val="377"/>
        </w:trPr>
        <w:tc>
          <w:tcPr>
            <w:tcW w:w="5537" w:type="dxa"/>
            <w:tcBorders>
              <w:right w:val="single" w:sz="2" w:space="0" w:color="58595B" w:themeColor="accent4"/>
            </w:tcBorders>
            <w:shd w:val="clear" w:color="auto" w:fill="F6F6F6"/>
          </w:tcPr>
          <w:p w14:paraId="786569CE" w14:textId="567DA856" w:rsidR="00A6231C" w:rsidRPr="0000465F" w:rsidRDefault="008B090B" w:rsidP="005C55A2">
            <w:pPr>
              <w:pStyle w:val="AEMCTableBodyCopy"/>
              <w:numPr>
                <w:ilvl w:val="0"/>
                <w:numId w:val="6"/>
              </w:numPr>
              <w:rPr>
                <w:rStyle w:val="Hyperlink"/>
              </w:rPr>
            </w:pPr>
            <w:r>
              <w:t xml:space="preserve">Are there any issues the </w:t>
            </w:r>
            <w:r>
              <w:rPr>
                <w:rStyle w:val="proofreader-typo"/>
              </w:rPr>
              <w:t>AEMC</w:t>
            </w:r>
            <w:r>
              <w:t xml:space="preserve"> should consider in relation to retail competition and consumer choice </w:t>
            </w:r>
            <w:proofErr w:type="gramStart"/>
            <w:r>
              <w:t>as a consequence of</w:t>
            </w:r>
            <w:proofErr w:type="gramEnd"/>
            <w:r>
              <w:t xml:space="preserve"> the introduction of natural gas equivalents?</w:t>
            </w:r>
          </w:p>
        </w:tc>
        <w:tc>
          <w:tcPr>
            <w:tcW w:w="9934" w:type="dxa"/>
            <w:tcBorders>
              <w:left w:val="single" w:sz="2" w:space="0" w:color="58595B" w:themeColor="accent4"/>
            </w:tcBorders>
          </w:tcPr>
          <w:p w14:paraId="659907C8" w14:textId="2EC4B32E" w:rsidR="00A6231C" w:rsidRPr="00785222" w:rsidRDefault="00A6231C" w:rsidP="005C55A2">
            <w:pPr>
              <w:pStyle w:val="AEMCTableBodyCopy"/>
              <w:rPr>
                <w:rStyle w:val="Hyperlink"/>
              </w:rPr>
            </w:pPr>
          </w:p>
        </w:tc>
      </w:tr>
      <w:tr w:rsidR="00B03A3C" w:rsidRPr="0000465F" w14:paraId="0BFC6F5A" w14:textId="77777777" w:rsidTr="00CE10D1">
        <w:trPr>
          <w:trHeight w:val="377"/>
        </w:trPr>
        <w:tc>
          <w:tcPr>
            <w:tcW w:w="5537" w:type="dxa"/>
            <w:tcBorders>
              <w:right w:val="single" w:sz="2" w:space="0" w:color="58595B" w:themeColor="accent4"/>
            </w:tcBorders>
            <w:shd w:val="clear" w:color="auto" w:fill="F6F6F6"/>
          </w:tcPr>
          <w:p w14:paraId="0EDC1207" w14:textId="2985530C" w:rsidR="00B03A3C" w:rsidRDefault="00B03A3C" w:rsidP="005C55A2">
            <w:pPr>
              <w:pStyle w:val="AEMCTableBodyCopy"/>
              <w:numPr>
                <w:ilvl w:val="0"/>
                <w:numId w:val="6"/>
              </w:numPr>
            </w:pPr>
            <w:r>
              <w:t xml:space="preserve">How are these issues impacted by jurisdictional policies in relation to mandated renewable gas targets or mandated green value in a gas stream? Are any changes to the </w:t>
            </w:r>
            <w:r>
              <w:rPr>
                <w:rStyle w:val="proofreader-typo"/>
              </w:rPr>
              <w:t>NGR</w:t>
            </w:r>
            <w:r>
              <w:t xml:space="preserve"> and </w:t>
            </w:r>
            <w:r>
              <w:rPr>
                <w:rStyle w:val="proofreader-typo"/>
              </w:rPr>
              <w:t>NERR</w:t>
            </w:r>
            <w:r>
              <w:t xml:space="preserve"> needed, either now or </w:t>
            </w:r>
            <w:proofErr w:type="gramStart"/>
            <w:r>
              <w:t>in the near future</w:t>
            </w:r>
            <w:proofErr w:type="gramEnd"/>
            <w:r>
              <w:t xml:space="preserve">, to address any concerns about competition, consumer choice and cost pass through of </w:t>
            </w:r>
            <w:r>
              <w:rPr>
                <w:rStyle w:val="proofreader-typo"/>
              </w:rPr>
              <w:t>renewables</w:t>
            </w:r>
            <w:r>
              <w:t xml:space="preserve"> in the retail market.</w:t>
            </w:r>
          </w:p>
        </w:tc>
        <w:tc>
          <w:tcPr>
            <w:tcW w:w="9934" w:type="dxa"/>
            <w:tcBorders>
              <w:left w:val="single" w:sz="2" w:space="0" w:color="58595B" w:themeColor="accent4"/>
            </w:tcBorders>
          </w:tcPr>
          <w:p w14:paraId="2BAC4C6B" w14:textId="77777777" w:rsidR="00B03A3C" w:rsidRPr="00785222" w:rsidRDefault="00B03A3C" w:rsidP="005C55A2">
            <w:pPr>
              <w:pStyle w:val="AEMCTableBodyCopy"/>
              <w:rPr>
                <w:rStyle w:val="Hyperlink"/>
              </w:rPr>
            </w:pPr>
          </w:p>
        </w:tc>
      </w:tr>
    </w:tbl>
    <w:p w14:paraId="4C40AB9A" w14:textId="77777777" w:rsidR="00EE07C9" w:rsidRDefault="00EE07C9" w:rsidP="00B03A3C">
      <w:pPr>
        <w:pStyle w:val="AEMCHeaderL4"/>
        <w:rPr>
          <w:rStyle w:val="Hyperlink"/>
          <w:b/>
        </w:rPr>
      </w:pPr>
    </w:p>
    <w:p w14:paraId="7E7C8BE9" w14:textId="77777777" w:rsidR="00EE07C9" w:rsidRDefault="00EE07C9">
      <w:pPr>
        <w:spacing w:line="259" w:lineRule="auto"/>
        <w:rPr>
          <w:rStyle w:val="Hyperlink"/>
          <w:rFonts w:cs="Times New Roman (Body CS)"/>
          <w:b/>
          <w:caps/>
          <w:color w:val="00A8E5" w:themeColor="accent1"/>
          <w:sz w:val="22"/>
          <w:szCs w:val="24"/>
        </w:rPr>
      </w:pPr>
      <w:r>
        <w:rPr>
          <w:rStyle w:val="Hyperlink"/>
          <w:b/>
        </w:rPr>
        <w:br w:type="page"/>
      </w:r>
    </w:p>
    <w:p w14:paraId="54D4E94C" w14:textId="68040D3B" w:rsidR="00B03A3C" w:rsidRPr="008A4886" w:rsidRDefault="00B03A3C" w:rsidP="00B03A3C">
      <w:pPr>
        <w:pStyle w:val="AEMCHeaderL4"/>
        <w:rPr>
          <w:rStyle w:val="Hyperlink"/>
        </w:rPr>
      </w:pPr>
      <w:r>
        <w:rPr>
          <w:rStyle w:val="Hyperlink"/>
          <w:b/>
        </w:rPr>
        <w:lastRenderedPageBreak/>
        <w:t xml:space="preserve">question 20 - </w:t>
      </w:r>
      <w:r w:rsidRPr="008A4886">
        <w:rPr>
          <w:rStyle w:val="Hyperlink"/>
          <w:b/>
        </w:rPr>
        <w:t xml:space="preserve">CHAPTER </w:t>
      </w:r>
      <w:r w:rsidR="009733F8">
        <w:rPr>
          <w:rStyle w:val="Hyperlink"/>
          <w:b/>
        </w:rPr>
        <w:t>7</w:t>
      </w:r>
      <w:r w:rsidRPr="008A4886">
        <w:rPr>
          <w:rStyle w:val="Hyperlink"/>
        </w:rPr>
        <w:t xml:space="preserve"> – </w:t>
      </w:r>
      <w:r w:rsidR="009733F8">
        <w:rPr>
          <w:rStyle w:val="Hyperlink"/>
        </w:rPr>
        <w:t>consumer protection framework</w:t>
      </w:r>
    </w:p>
    <w:tbl>
      <w:tblPr>
        <w:tblStyle w:val="TableGrid"/>
        <w:tblW w:w="1545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6294"/>
        <w:gridCol w:w="9165"/>
      </w:tblGrid>
      <w:tr w:rsidR="00B03A3C" w:rsidRPr="0000465F" w14:paraId="5C9D3A42" w14:textId="77777777" w:rsidTr="00EE07C9">
        <w:trPr>
          <w:trHeight w:val="2139"/>
        </w:trPr>
        <w:tc>
          <w:tcPr>
            <w:tcW w:w="6294" w:type="dxa"/>
            <w:tcBorders>
              <w:top w:val="single" w:sz="18" w:space="0" w:color="00A8E5" w:themeColor="accent1"/>
              <w:right w:val="single" w:sz="2" w:space="0" w:color="58595B" w:themeColor="accent4"/>
            </w:tcBorders>
            <w:shd w:val="clear" w:color="auto" w:fill="F6F6F6"/>
          </w:tcPr>
          <w:p w14:paraId="2A7B8FF0" w14:textId="77777777" w:rsidR="00B03A3C" w:rsidRDefault="006B023E" w:rsidP="005C55A2">
            <w:pPr>
              <w:pStyle w:val="AEMCTableBodyCopy"/>
              <w:numPr>
                <w:ilvl w:val="0"/>
                <w:numId w:val="6"/>
              </w:numPr>
            </w:pPr>
            <w:r>
              <w:t>Do you consider that changes are required to the consumer protection framework to reflect the physical properties of natural gas equivalents compared to natural gas? Specifically: </w:t>
            </w:r>
          </w:p>
          <w:p w14:paraId="3CBA304E" w14:textId="77777777" w:rsidR="006B023E" w:rsidRDefault="00D56F3A" w:rsidP="006B023E">
            <w:pPr>
              <w:pStyle w:val="AEMCTableBodyCopy"/>
              <w:numPr>
                <w:ilvl w:val="0"/>
                <w:numId w:val="19"/>
              </w:numPr>
            </w:pPr>
            <w:r>
              <w:t>Should retailers be required to notify existing customers prior to the transition from the supply of natural gas to a natural gas equivalent that the customer is now being supplied with the natural gas equivalent and the changes the customer may see in relation to the quantity of gas metered at their premises following the transition?</w:t>
            </w:r>
          </w:p>
          <w:p w14:paraId="3D4FFDFB" w14:textId="77777777" w:rsidR="00D56F3A" w:rsidRDefault="00D56F3A" w:rsidP="006B023E">
            <w:pPr>
              <w:pStyle w:val="AEMCTableBodyCopy"/>
              <w:numPr>
                <w:ilvl w:val="0"/>
                <w:numId w:val="19"/>
              </w:numPr>
            </w:pPr>
            <w:r>
              <w:t>Should the model terms and conditions for standard retail contracts and the minimum requirements for market retail contracts be amended to make clear if the supply of gas under that contract is a supply of natural gas or a natural gas equivalent?</w:t>
            </w:r>
          </w:p>
          <w:p w14:paraId="235DC5E6" w14:textId="77777777" w:rsidR="00D56F3A" w:rsidRDefault="00D56F3A" w:rsidP="006B023E">
            <w:pPr>
              <w:pStyle w:val="AEMCTableBodyCopy"/>
              <w:numPr>
                <w:ilvl w:val="0"/>
                <w:numId w:val="19"/>
              </w:numPr>
            </w:pPr>
            <w:r>
              <w:t>Should retailers who receive requests for historical billing data from a customer be required to state in the billing information provided if there was a transition from natural gas to a natural gas equivalent during the billing history period for which information is requested, and the date at which the transition occurred?</w:t>
            </w:r>
          </w:p>
          <w:p w14:paraId="0706FDCD" w14:textId="5AE3809A" w:rsidR="00D56F3A" w:rsidRPr="0000465F" w:rsidRDefault="00D56F3A" w:rsidP="006B023E">
            <w:pPr>
              <w:pStyle w:val="AEMCTableBodyCopy"/>
              <w:numPr>
                <w:ilvl w:val="0"/>
                <w:numId w:val="19"/>
              </w:numPr>
              <w:rPr>
                <w:rStyle w:val="Hyperlink"/>
              </w:rPr>
            </w:pPr>
            <w:r>
              <w:t>If the natural gas equivalent to be supplied has a different heating value from natural gas, should there be a requirement for retailers to issue a bill based on an actual meter read for customers with accumulation (non-interval) meters before supply is transitioned to a natural gas equivalent?</w:t>
            </w:r>
          </w:p>
        </w:tc>
        <w:tc>
          <w:tcPr>
            <w:tcW w:w="9165" w:type="dxa"/>
            <w:tcBorders>
              <w:top w:val="single" w:sz="18" w:space="0" w:color="00A8E5" w:themeColor="accent1"/>
              <w:left w:val="single" w:sz="2" w:space="0" w:color="58595B" w:themeColor="accent4"/>
            </w:tcBorders>
          </w:tcPr>
          <w:p w14:paraId="3243583F" w14:textId="4B509836" w:rsidR="00B03A3C" w:rsidRPr="00785222" w:rsidRDefault="00B03A3C" w:rsidP="005C55A2">
            <w:pPr>
              <w:pStyle w:val="AEMCTableBodyCopy"/>
              <w:rPr>
                <w:rStyle w:val="Hyperlink"/>
              </w:rPr>
            </w:pPr>
          </w:p>
        </w:tc>
      </w:tr>
      <w:tr w:rsidR="00B03A3C" w:rsidRPr="0000465F" w14:paraId="43FF7252" w14:textId="77777777" w:rsidTr="00EE07C9">
        <w:trPr>
          <w:trHeight w:val="479"/>
        </w:trPr>
        <w:tc>
          <w:tcPr>
            <w:tcW w:w="6294" w:type="dxa"/>
            <w:tcBorders>
              <w:right w:val="single" w:sz="2" w:space="0" w:color="58595B" w:themeColor="accent4"/>
            </w:tcBorders>
            <w:shd w:val="clear" w:color="auto" w:fill="F6F6F6"/>
          </w:tcPr>
          <w:p w14:paraId="16D0D9DC" w14:textId="1D4EC4CA" w:rsidR="00B03A3C" w:rsidRPr="0000465F" w:rsidRDefault="00C0021E" w:rsidP="005C55A2">
            <w:pPr>
              <w:pStyle w:val="AEMCTableBodyCopy"/>
              <w:numPr>
                <w:ilvl w:val="0"/>
                <w:numId w:val="6"/>
              </w:numPr>
              <w:rPr>
                <w:rStyle w:val="Hyperlink"/>
              </w:rPr>
            </w:pPr>
            <w:r>
              <w:t>Are there any other gaps in the consumer protection framework that arise because of the difference in the physical properties of natural gas and natural gas equivalents?</w:t>
            </w:r>
          </w:p>
        </w:tc>
        <w:tc>
          <w:tcPr>
            <w:tcW w:w="9165" w:type="dxa"/>
            <w:tcBorders>
              <w:left w:val="single" w:sz="2" w:space="0" w:color="58595B" w:themeColor="accent4"/>
            </w:tcBorders>
          </w:tcPr>
          <w:p w14:paraId="65428544" w14:textId="6DEC2F86" w:rsidR="00B03A3C" w:rsidRPr="00785222" w:rsidRDefault="00B03A3C" w:rsidP="005C55A2">
            <w:pPr>
              <w:pStyle w:val="AEMCTableBodyCopy"/>
              <w:rPr>
                <w:rStyle w:val="Hyperlink"/>
              </w:rPr>
            </w:pPr>
          </w:p>
        </w:tc>
      </w:tr>
      <w:tr w:rsidR="00D56F3A" w:rsidRPr="0000465F" w14:paraId="04A853B2" w14:textId="77777777" w:rsidTr="00EE07C9">
        <w:trPr>
          <w:trHeight w:val="479"/>
        </w:trPr>
        <w:tc>
          <w:tcPr>
            <w:tcW w:w="6294" w:type="dxa"/>
            <w:tcBorders>
              <w:right w:val="single" w:sz="2" w:space="0" w:color="58595B" w:themeColor="accent4"/>
            </w:tcBorders>
            <w:shd w:val="clear" w:color="auto" w:fill="F6F6F6"/>
          </w:tcPr>
          <w:p w14:paraId="7D1509E8" w14:textId="41AF05A6" w:rsidR="00D56F3A" w:rsidRPr="00DD0B3D" w:rsidRDefault="00C0021E" w:rsidP="005C55A2">
            <w:pPr>
              <w:pStyle w:val="AEMCTableBodyCopy"/>
              <w:numPr>
                <w:ilvl w:val="0"/>
                <w:numId w:val="6"/>
              </w:numPr>
              <w:rPr>
                <w:rStyle w:val="Hyperlink"/>
              </w:rPr>
            </w:pPr>
            <w:r>
              <w:t>Do you consider that customers should be informed if price variations occur because of the transition to natural gas equivalents?</w:t>
            </w:r>
          </w:p>
        </w:tc>
        <w:tc>
          <w:tcPr>
            <w:tcW w:w="9165" w:type="dxa"/>
            <w:tcBorders>
              <w:left w:val="single" w:sz="2" w:space="0" w:color="58595B" w:themeColor="accent4"/>
            </w:tcBorders>
          </w:tcPr>
          <w:p w14:paraId="2B29FBA9" w14:textId="77777777" w:rsidR="00D56F3A" w:rsidRPr="00785222" w:rsidRDefault="00D56F3A" w:rsidP="005C55A2">
            <w:pPr>
              <w:pStyle w:val="AEMCTableBodyCopy"/>
              <w:rPr>
                <w:rStyle w:val="Hyperlink"/>
              </w:rPr>
            </w:pPr>
          </w:p>
        </w:tc>
      </w:tr>
      <w:tr w:rsidR="00D56F3A" w:rsidRPr="0000465F" w14:paraId="00B3D1F7" w14:textId="77777777" w:rsidTr="00EE07C9">
        <w:trPr>
          <w:trHeight w:val="479"/>
        </w:trPr>
        <w:tc>
          <w:tcPr>
            <w:tcW w:w="6294" w:type="dxa"/>
            <w:tcBorders>
              <w:right w:val="single" w:sz="2" w:space="0" w:color="58595B" w:themeColor="accent4"/>
            </w:tcBorders>
            <w:shd w:val="clear" w:color="auto" w:fill="F6F6F6"/>
          </w:tcPr>
          <w:p w14:paraId="303AB834" w14:textId="13FF354C" w:rsidR="00D56F3A" w:rsidRPr="00DD0B3D" w:rsidRDefault="00C0021E" w:rsidP="005C55A2">
            <w:pPr>
              <w:pStyle w:val="AEMCTableBodyCopy"/>
              <w:numPr>
                <w:ilvl w:val="0"/>
                <w:numId w:val="6"/>
              </w:numPr>
              <w:rPr>
                <w:rStyle w:val="Hyperlink"/>
              </w:rPr>
            </w:pPr>
            <w:r>
              <w:t xml:space="preserve">How should the risks of 'off spec' natural gas equivalents be allocated under the </w:t>
            </w:r>
            <w:r>
              <w:rPr>
                <w:rStyle w:val="proofreader-typo"/>
              </w:rPr>
              <w:t>NERL</w:t>
            </w:r>
            <w:r>
              <w:t xml:space="preserve"> and </w:t>
            </w:r>
            <w:r>
              <w:rPr>
                <w:rStyle w:val="proofreader-typo"/>
              </w:rPr>
              <w:t>NERR</w:t>
            </w:r>
            <w:r>
              <w:t xml:space="preserve">? Is the existing allocation of risk for the quality of natural gas appropriate if distributors have responsibility for creating the natural gas equivalent (for example, through the operation of blending facilities)? What is the appropriate mechanism for managing loss suffered by customers </w:t>
            </w:r>
            <w:proofErr w:type="gramStart"/>
            <w:r>
              <w:t>as a result of</w:t>
            </w:r>
            <w:proofErr w:type="gramEnd"/>
            <w:r>
              <w:t xml:space="preserve"> 'off spec' natural gas equivalents?</w:t>
            </w:r>
          </w:p>
        </w:tc>
        <w:tc>
          <w:tcPr>
            <w:tcW w:w="9165" w:type="dxa"/>
            <w:tcBorders>
              <w:left w:val="single" w:sz="2" w:space="0" w:color="58595B" w:themeColor="accent4"/>
            </w:tcBorders>
          </w:tcPr>
          <w:p w14:paraId="57B97469" w14:textId="77777777" w:rsidR="00D56F3A" w:rsidRPr="00785222" w:rsidRDefault="00D56F3A" w:rsidP="005C55A2">
            <w:pPr>
              <w:pStyle w:val="AEMCTableBodyCopy"/>
              <w:rPr>
                <w:rStyle w:val="Hyperlink"/>
              </w:rPr>
            </w:pPr>
          </w:p>
        </w:tc>
      </w:tr>
    </w:tbl>
    <w:p w14:paraId="6C1AAADA" w14:textId="77777777" w:rsidR="00EE07C9" w:rsidRDefault="00EE07C9">
      <w:pPr>
        <w:spacing w:line="259" w:lineRule="auto"/>
        <w:rPr>
          <w:rStyle w:val="Hyperlink"/>
          <w:rFonts w:cs="Times New Roman (Body CS)"/>
          <w:b/>
          <w:caps/>
          <w:color w:val="00A8E5" w:themeColor="accent1"/>
          <w:sz w:val="22"/>
          <w:szCs w:val="24"/>
        </w:rPr>
      </w:pPr>
      <w:r>
        <w:rPr>
          <w:rStyle w:val="Hyperlink"/>
          <w:b/>
        </w:rPr>
        <w:br w:type="page"/>
      </w:r>
    </w:p>
    <w:p w14:paraId="62CE6EEA" w14:textId="31168B2B" w:rsidR="00C0021E" w:rsidRPr="008A4886" w:rsidRDefault="00C0021E" w:rsidP="00C0021E">
      <w:pPr>
        <w:pStyle w:val="AEMCHeaderL4"/>
        <w:rPr>
          <w:rStyle w:val="Hyperlink"/>
        </w:rPr>
      </w:pPr>
      <w:r>
        <w:rPr>
          <w:rStyle w:val="Hyperlink"/>
          <w:b/>
        </w:rPr>
        <w:lastRenderedPageBreak/>
        <w:t>question 2</w:t>
      </w:r>
      <w:r w:rsidR="00975C2A">
        <w:rPr>
          <w:rStyle w:val="Hyperlink"/>
          <w:b/>
        </w:rPr>
        <w:t>1</w:t>
      </w:r>
      <w:r>
        <w:rPr>
          <w:rStyle w:val="Hyperlink"/>
          <w:b/>
        </w:rPr>
        <w:t xml:space="preserve"> - </w:t>
      </w:r>
      <w:r w:rsidRPr="008A4886">
        <w:rPr>
          <w:rStyle w:val="Hyperlink"/>
          <w:b/>
        </w:rPr>
        <w:t xml:space="preserve">CHAPTER </w:t>
      </w:r>
      <w:r>
        <w:rPr>
          <w:rStyle w:val="Hyperlink"/>
          <w:b/>
        </w:rPr>
        <w:t>8</w:t>
      </w:r>
      <w:r w:rsidRPr="008A4886">
        <w:rPr>
          <w:rStyle w:val="Hyperlink"/>
        </w:rPr>
        <w:t xml:space="preserve"> –</w:t>
      </w:r>
      <w:r>
        <w:rPr>
          <w:rStyle w:val="Hyperlink"/>
        </w:rPr>
        <w:t xml:space="preserve"> regulatory sandbox arrangements </w:t>
      </w:r>
    </w:p>
    <w:tbl>
      <w:tblPr>
        <w:tblStyle w:val="TableGrid"/>
        <w:tblW w:w="15350"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5493"/>
        <w:gridCol w:w="9857"/>
      </w:tblGrid>
      <w:tr w:rsidR="00C0021E" w:rsidRPr="0000465F" w14:paraId="3810FF6A" w14:textId="77777777" w:rsidTr="001F74DF">
        <w:trPr>
          <w:trHeight w:val="505"/>
        </w:trPr>
        <w:tc>
          <w:tcPr>
            <w:tcW w:w="5493" w:type="dxa"/>
            <w:tcBorders>
              <w:top w:val="single" w:sz="18" w:space="0" w:color="00A8E5" w:themeColor="accent1"/>
              <w:right w:val="single" w:sz="2" w:space="0" w:color="58595B" w:themeColor="accent4"/>
            </w:tcBorders>
            <w:shd w:val="clear" w:color="auto" w:fill="F6F6F6"/>
          </w:tcPr>
          <w:p w14:paraId="282F901F" w14:textId="77777777" w:rsidR="00C0021E" w:rsidRDefault="00A947C1" w:rsidP="005C55A2">
            <w:pPr>
              <w:pStyle w:val="AEMCTableBodyCopy"/>
              <w:numPr>
                <w:ilvl w:val="0"/>
                <w:numId w:val="6"/>
              </w:numPr>
            </w:pPr>
            <w:r>
              <w:t>Is it practicable for a retail customer to opt out of a change of product trial? If not:</w:t>
            </w:r>
          </w:p>
          <w:p w14:paraId="57D5A03A" w14:textId="77777777" w:rsidR="00A947C1" w:rsidRDefault="00A947C1" w:rsidP="00A947C1">
            <w:pPr>
              <w:pStyle w:val="AEMCTableBodyCopy"/>
              <w:numPr>
                <w:ilvl w:val="0"/>
                <w:numId w:val="20"/>
              </w:numPr>
            </w:pPr>
            <w:r>
              <w:rPr>
                <w:rStyle w:val="proofreader-typo"/>
              </w:rPr>
              <w:t>should</w:t>
            </w:r>
            <w:r>
              <w:t xml:space="preserve"> the definition of explicit informed consent be required to provide information that the customer is unable to opt out of the trial for the period of the trial?</w:t>
            </w:r>
          </w:p>
          <w:p w14:paraId="2481EC63" w14:textId="545524CD" w:rsidR="00A947C1" w:rsidRPr="0000465F" w:rsidRDefault="00A947C1" w:rsidP="00A947C1">
            <w:pPr>
              <w:pStyle w:val="AEMCTableBodyCopy"/>
              <w:numPr>
                <w:ilvl w:val="0"/>
                <w:numId w:val="20"/>
              </w:numPr>
              <w:rPr>
                <w:rStyle w:val="Hyperlink"/>
              </w:rPr>
            </w:pPr>
            <w:r>
              <w:rPr>
                <w:rStyle w:val="proofreader-typo"/>
              </w:rPr>
              <w:t>should</w:t>
            </w:r>
            <w:r>
              <w:t xml:space="preserve"> the AER have power to extend a change of fuel trial if retail customers cannot practicably opt out of the trial?</w:t>
            </w:r>
          </w:p>
        </w:tc>
        <w:tc>
          <w:tcPr>
            <w:tcW w:w="9857" w:type="dxa"/>
            <w:tcBorders>
              <w:top w:val="single" w:sz="18" w:space="0" w:color="00A8E5" w:themeColor="accent1"/>
              <w:left w:val="single" w:sz="2" w:space="0" w:color="58595B" w:themeColor="accent4"/>
            </w:tcBorders>
          </w:tcPr>
          <w:p w14:paraId="27566297" w14:textId="18E814B4" w:rsidR="00C0021E" w:rsidRPr="00785222" w:rsidRDefault="00C0021E" w:rsidP="005C55A2">
            <w:pPr>
              <w:pStyle w:val="AEMCTableBodyCopy"/>
              <w:rPr>
                <w:rStyle w:val="Hyperlink"/>
              </w:rPr>
            </w:pPr>
          </w:p>
        </w:tc>
      </w:tr>
      <w:tr w:rsidR="00C0021E" w:rsidRPr="0000465F" w14:paraId="04BAB992" w14:textId="77777777" w:rsidTr="001F74DF">
        <w:trPr>
          <w:trHeight w:val="786"/>
        </w:trPr>
        <w:tc>
          <w:tcPr>
            <w:tcW w:w="5493" w:type="dxa"/>
            <w:tcBorders>
              <w:right w:val="single" w:sz="2" w:space="0" w:color="58595B" w:themeColor="accent4"/>
            </w:tcBorders>
            <w:shd w:val="clear" w:color="auto" w:fill="F6F6F6"/>
          </w:tcPr>
          <w:p w14:paraId="7F236710" w14:textId="0179B61C" w:rsidR="00C0021E" w:rsidRPr="0000465F" w:rsidRDefault="007D43BD" w:rsidP="005C55A2">
            <w:pPr>
              <w:pStyle w:val="AEMCTableBodyCopy"/>
              <w:numPr>
                <w:ilvl w:val="0"/>
                <w:numId w:val="6"/>
              </w:numPr>
              <w:rPr>
                <w:rStyle w:val="Hyperlink"/>
              </w:rPr>
            </w:pPr>
            <w:r>
              <w:t>Are any changes to the consultation requirements regarding proposed trial waivers for change of product trials needed? For example, on the AER public consultation requirements for change of product trials.</w:t>
            </w:r>
          </w:p>
        </w:tc>
        <w:tc>
          <w:tcPr>
            <w:tcW w:w="9857" w:type="dxa"/>
            <w:tcBorders>
              <w:left w:val="single" w:sz="2" w:space="0" w:color="58595B" w:themeColor="accent4"/>
            </w:tcBorders>
          </w:tcPr>
          <w:p w14:paraId="0C35BDB0" w14:textId="1A6EFBF5" w:rsidR="00C0021E" w:rsidRPr="00785222" w:rsidRDefault="00C0021E" w:rsidP="005C55A2">
            <w:pPr>
              <w:pStyle w:val="AEMCTableBodyCopy"/>
              <w:rPr>
                <w:rStyle w:val="Hyperlink"/>
              </w:rPr>
            </w:pPr>
          </w:p>
        </w:tc>
      </w:tr>
      <w:tr w:rsidR="007D43BD" w:rsidRPr="0000465F" w14:paraId="6F8B7B40" w14:textId="77777777" w:rsidTr="001F74DF">
        <w:trPr>
          <w:trHeight w:val="1265"/>
        </w:trPr>
        <w:tc>
          <w:tcPr>
            <w:tcW w:w="5493" w:type="dxa"/>
            <w:tcBorders>
              <w:right w:val="single" w:sz="2" w:space="0" w:color="58595B" w:themeColor="accent4"/>
            </w:tcBorders>
            <w:shd w:val="clear" w:color="auto" w:fill="F6F6F6"/>
          </w:tcPr>
          <w:p w14:paraId="5D0408FF" w14:textId="77777777" w:rsidR="007D43BD" w:rsidRDefault="007D43BD" w:rsidP="005C55A2">
            <w:pPr>
              <w:pStyle w:val="AEMCTableBodyCopy"/>
              <w:numPr>
                <w:ilvl w:val="0"/>
                <w:numId w:val="6"/>
              </w:numPr>
            </w:pPr>
            <w:r>
              <w:t xml:space="preserve">Should amendments be made to specify certain </w:t>
            </w:r>
            <w:r>
              <w:rPr>
                <w:rStyle w:val="proofreader-typo"/>
              </w:rPr>
              <w:t>pre-conditions</w:t>
            </w:r>
            <w:r>
              <w:t> to the granting of a trial waiver for a change of product trial involving the sale and supply of an 'other gas product'? If so:</w:t>
            </w:r>
          </w:p>
          <w:p w14:paraId="6E2B1498" w14:textId="77777777" w:rsidR="007D43BD" w:rsidRDefault="007D43BD" w:rsidP="007D43BD">
            <w:pPr>
              <w:pStyle w:val="AEMCTableBodyCopy"/>
              <w:numPr>
                <w:ilvl w:val="0"/>
                <w:numId w:val="21"/>
              </w:numPr>
            </w:pPr>
            <w:r>
              <w:rPr>
                <w:rStyle w:val="proofreader-typo"/>
              </w:rPr>
              <w:t>should</w:t>
            </w:r>
            <w:r>
              <w:t xml:space="preserve"> the applicant be required to provide this approval as part of its application for a trial waiver?</w:t>
            </w:r>
          </w:p>
          <w:p w14:paraId="24A076C1" w14:textId="2C9AA8F7" w:rsidR="00DF2362" w:rsidRDefault="00DF2362" w:rsidP="00DF2362">
            <w:pPr>
              <w:pStyle w:val="AEMCTableBodyCopy"/>
              <w:numPr>
                <w:ilvl w:val="0"/>
                <w:numId w:val="21"/>
              </w:numPr>
            </w:pPr>
            <w:r>
              <w:rPr>
                <w:rStyle w:val="proofreader-typo"/>
              </w:rPr>
              <w:t>should</w:t>
            </w:r>
            <w:r>
              <w:t xml:space="preserve"> the rule change proponent for a trial rule be required to provide this approval as part of its request for the rule?</w:t>
            </w:r>
          </w:p>
        </w:tc>
        <w:tc>
          <w:tcPr>
            <w:tcW w:w="9857" w:type="dxa"/>
            <w:tcBorders>
              <w:left w:val="single" w:sz="2" w:space="0" w:color="58595B" w:themeColor="accent4"/>
            </w:tcBorders>
          </w:tcPr>
          <w:p w14:paraId="3AF8A2D4" w14:textId="77777777" w:rsidR="007D43BD" w:rsidRPr="00785222" w:rsidRDefault="007D43BD" w:rsidP="005C55A2">
            <w:pPr>
              <w:pStyle w:val="AEMCTableBodyCopy"/>
              <w:rPr>
                <w:rStyle w:val="Hyperlink"/>
              </w:rPr>
            </w:pPr>
          </w:p>
        </w:tc>
      </w:tr>
      <w:tr w:rsidR="00DF2362" w:rsidRPr="0000465F" w14:paraId="70C8E25D" w14:textId="77777777" w:rsidTr="001F74DF">
        <w:trPr>
          <w:trHeight w:val="697"/>
        </w:trPr>
        <w:tc>
          <w:tcPr>
            <w:tcW w:w="5493" w:type="dxa"/>
            <w:tcBorders>
              <w:right w:val="single" w:sz="2" w:space="0" w:color="58595B" w:themeColor="accent4"/>
            </w:tcBorders>
            <w:shd w:val="clear" w:color="auto" w:fill="F6F6F6"/>
          </w:tcPr>
          <w:p w14:paraId="29B4DA09" w14:textId="6983AEFE" w:rsidR="00DF2362" w:rsidRDefault="00DF2362" w:rsidP="005C55A2">
            <w:pPr>
              <w:pStyle w:val="AEMCTableBodyCopy"/>
              <w:numPr>
                <w:ilvl w:val="0"/>
                <w:numId w:val="6"/>
              </w:numPr>
            </w:pPr>
            <w:r>
              <w:t>Are there any other gaps that would arise in the proposed regulatory sandbox framework if it is extended to natural gas equivalents, other gas products and constituent gases?</w:t>
            </w:r>
          </w:p>
        </w:tc>
        <w:tc>
          <w:tcPr>
            <w:tcW w:w="9857" w:type="dxa"/>
            <w:tcBorders>
              <w:left w:val="single" w:sz="2" w:space="0" w:color="58595B" w:themeColor="accent4"/>
            </w:tcBorders>
          </w:tcPr>
          <w:p w14:paraId="1A1D4ABD" w14:textId="77777777" w:rsidR="00DF2362" w:rsidRPr="00785222" w:rsidRDefault="00DF2362" w:rsidP="005C55A2">
            <w:pPr>
              <w:pStyle w:val="AEMCTableBodyCopy"/>
              <w:rPr>
                <w:rStyle w:val="Hyperlink"/>
              </w:rPr>
            </w:pPr>
          </w:p>
        </w:tc>
      </w:tr>
    </w:tbl>
    <w:p w14:paraId="2CA17626" w14:textId="77777777" w:rsidR="00F20E42" w:rsidRDefault="00F20E42" w:rsidP="008A4886">
      <w:pPr>
        <w:pStyle w:val="AEMCHeaderL4"/>
        <w:rPr>
          <w:rStyle w:val="Hyperlink"/>
          <w:b/>
        </w:rPr>
      </w:pPr>
    </w:p>
    <w:p w14:paraId="5FAF58C9" w14:textId="77777777" w:rsidR="00C114E7" w:rsidRPr="0015555C" w:rsidRDefault="00C114E7" w:rsidP="0015555C">
      <w:pPr>
        <w:pStyle w:val="AEMCBodyCopy"/>
      </w:pPr>
    </w:p>
    <w:sectPr w:rsidR="00C114E7" w:rsidRPr="0015555C" w:rsidSect="00AC3CEB">
      <w:headerReference w:type="default" r:id="rId12"/>
      <w:footerReference w:type="even" r:id="rId13"/>
      <w:footerReference w:type="default" r:id="rId14"/>
      <w:headerReference w:type="first" r:id="rId15"/>
      <w:footerReference w:type="first" r:id="rId16"/>
      <w:pgSz w:w="16840" w:h="11901" w:orient="landscape"/>
      <w:pgMar w:top="1440" w:right="1440" w:bottom="1440" w:left="1440"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389B5" w14:textId="77777777" w:rsidR="008C58CA" w:rsidRDefault="008C58CA" w:rsidP="00E768E2">
      <w:r>
        <w:separator/>
      </w:r>
    </w:p>
    <w:p w14:paraId="40C6ABC9" w14:textId="77777777" w:rsidR="008C58CA" w:rsidRDefault="008C58CA" w:rsidP="00E768E2"/>
    <w:p w14:paraId="20B91F5B" w14:textId="77777777" w:rsidR="008C58CA" w:rsidRDefault="008C58CA" w:rsidP="00E768E2"/>
    <w:p w14:paraId="78F497A8" w14:textId="77777777" w:rsidR="008C58CA" w:rsidRDefault="008C58CA" w:rsidP="00E768E2"/>
    <w:p w14:paraId="5A6B11AC" w14:textId="77777777" w:rsidR="008C58CA" w:rsidRDefault="008C58CA"/>
    <w:p w14:paraId="5891E73F" w14:textId="77777777" w:rsidR="008C58CA" w:rsidRDefault="008C58CA"/>
  </w:endnote>
  <w:endnote w:type="continuationSeparator" w:id="0">
    <w:p w14:paraId="5FFD2836" w14:textId="77777777" w:rsidR="008C58CA" w:rsidRDefault="008C58CA" w:rsidP="00E768E2">
      <w:r>
        <w:continuationSeparator/>
      </w:r>
    </w:p>
    <w:p w14:paraId="0DFC7C75" w14:textId="77777777" w:rsidR="008C58CA" w:rsidRDefault="008C58CA" w:rsidP="00E768E2"/>
    <w:p w14:paraId="2A3F4A01" w14:textId="77777777" w:rsidR="008C58CA" w:rsidRDefault="008C58CA" w:rsidP="00E768E2"/>
    <w:p w14:paraId="5906D65D" w14:textId="77777777" w:rsidR="008C58CA" w:rsidRDefault="008C58CA" w:rsidP="00E768E2"/>
    <w:p w14:paraId="765A8AFE" w14:textId="77777777" w:rsidR="008C58CA" w:rsidRDefault="008C58CA"/>
    <w:p w14:paraId="0A9330FB" w14:textId="77777777" w:rsidR="008C58CA" w:rsidRDefault="008C58CA"/>
  </w:endnote>
  <w:endnote w:type="continuationNotice" w:id="1">
    <w:p w14:paraId="3D33DAB9" w14:textId="77777777" w:rsidR="00AE2CC6" w:rsidRDefault="00AE2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01E4A" w14:textId="6D882EA4" w:rsidR="00672434" w:rsidRDefault="00672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7464B"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C75C0"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AD101" w14:textId="77777777" w:rsidR="008C58CA" w:rsidRDefault="008C58CA">
      <w:r>
        <w:separator/>
      </w:r>
    </w:p>
  </w:footnote>
  <w:footnote w:type="continuationSeparator" w:id="0">
    <w:p w14:paraId="5925AA2E" w14:textId="77777777" w:rsidR="008C58CA" w:rsidRDefault="008C58CA" w:rsidP="00E768E2">
      <w:r>
        <w:continuationSeparator/>
      </w:r>
    </w:p>
    <w:p w14:paraId="14FE9515" w14:textId="77777777" w:rsidR="008C58CA" w:rsidRDefault="008C58CA" w:rsidP="00E768E2"/>
    <w:p w14:paraId="05AA0F77" w14:textId="77777777" w:rsidR="008C58CA" w:rsidRDefault="008C58CA" w:rsidP="00E768E2"/>
    <w:p w14:paraId="681FEA9F" w14:textId="77777777" w:rsidR="008C58CA" w:rsidRDefault="008C58CA" w:rsidP="00E768E2"/>
    <w:p w14:paraId="2B78BDEA" w14:textId="77777777" w:rsidR="008C58CA" w:rsidRDefault="008C58CA"/>
    <w:p w14:paraId="521A7FEA" w14:textId="77777777" w:rsidR="008C58CA" w:rsidRDefault="008C58CA"/>
  </w:footnote>
  <w:footnote w:type="continuationNotice" w:id="1">
    <w:p w14:paraId="6296D056" w14:textId="77777777" w:rsidR="00AE2CC6" w:rsidRDefault="00AE2C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1292" w:type="dxa"/>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47"/>
    </w:tblGrid>
    <w:tr w:rsidR="00D260FB" w14:paraId="00EEF430" w14:textId="77777777" w:rsidTr="008068B6">
      <w:trPr>
        <w:trHeight w:val="680"/>
      </w:trPr>
      <w:tc>
        <w:tcPr>
          <w:tcW w:w="8147" w:type="dxa"/>
        </w:tcPr>
        <w:p w14:paraId="6922B72B" w14:textId="77777777" w:rsidR="00D260FB" w:rsidRPr="00D260FB" w:rsidRDefault="005E638A" w:rsidP="00D260FB">
          <w:pPr>
            <w:pStyle w:val="Header"/>
            <w:ind w:left="85"/>
            <w:rPr>
              <w:b/>
              <w:lang w:val="en-AU"/>
            </w:rPr>
          </w:pPr>
          <w:r>
            <w:rPr>
              <w:b/>
              <w:lang w:val="en-AU"/>
            </w:rPr>
            <w:t>Stakeholder feedback</w:t>
          </w:r>
        </w:p>
        <w:p w14:paraId="05FE1EC4" w14:textId="62ADE2DA" w:rsidR="00D260FB" w:rsidRDefault="00D260FB" w:rsidP="00D260FB">
          <w:pPr>
            <w:pStyle w:val="Header"/>
            <w:ind w:left="85"/>
            <w:rPr>
              <w:lang w:val="en-AU"/>
            </w:rPr>
          </w:pPr>
        </w:p>
      </w:tc>
    </w:tr>
  </w:tbl>
  <w:p w14:paraId="6A1A84A4"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240" behindDoc="1" locked="0" layoutInCell="1" allowOverlap="1" wp14:anchorId="4A59F112" wp14:editId="77821687">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2D30C15D"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4276CCDA"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9F112" id="_x0000_t202" coordsize="21600,21600" o:spt="202" path="m,l,21600r21600,l21600,xe">
              <v:stroke joinstyle="miter"/>
              <v:path gradientshapeok="t" o:connecttype="rect"/>
            </v:shapetype>
            <v:shape id="Text Box 3" o:spid="_x0000_s1026" type="#_x0000_t202" style="position:absolute;margin-left:56.65pt;margin-top:44pt;width:68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" filled="f" stroked="f" strokeweight=".5pt">
              <v:textbox inset="0,0,0,0">
                <w:txbxContent>
                  <w:p w14:paraId="2D30C15D"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4276CCDA"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5016E" w14:textId="1C722A17" w:rsidR="00672434" w:rsidRDefault="00672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B143DF"/>
    <w:multiLevelType w:val="hybridMultilevel"/>
    <w:tmpl w:val="00C27994"/>
    <w:lvl w:ilvl="0" w:tplc="14D464C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1E33354A"/>
    <w:multiLevelType w:val="hybridMultilevel"/>
    <w:tmpl w:val="CD4A1982"/>
    <w:lvl w:ilvl="0" w:tplc="AF4EDEA4">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1DE6173"/>
    <w:multiLevelType w:val="hybridMultilevel"/>
    <w:tmpl w:val="CD0E3726"/>
    <w:lvl w:ilvl="0" w:tplc="AF3AB02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3DC3AA2"/>
    <w:multiLevelType w:val="hybridMultilevel"/>
    <w:tmpl w:val="3E5A4DC6"/>
    <w:lvl w:ilvl="0" w:tplc="2D56C26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7777EC4"/>
    <w:multiLevelType w:val="hybridMultilevel"/>
    <w:tmpl w:val="97E22CC2"/>
    <w:lvl w:ilvl="0" w:tplc="315CF6D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3D761AF6"/>
    <w:multiLevelType w:val="hybridMultilevel"/>
    <w:tmpl w:val="4BF67A12"/>
    <w:lvl w:ilvl="0" w:tplc="AD4856D2">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4419F8"/>
    <w:multiLevelType w:val="hybridMultilevel"/>
    <w:tmpl w:val="6E948CFC"/>
    <w:lvl w:ilvl="0" w:tplc="47085FA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173AF4"/>
    <w:multiLevelType w:val="hybridMultilevel"/>
    <w:tmpl w:val="F9C48F42"/>
    <w:lvl w:ilvl="0" w:tplc="E82C7CCC">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C84B5B"/>
    <w:multiLevelType w:val="hybridMultilevel"/>
    <w:tmpl w:val="4F7EF90E"/>
    <w:lvl w:ilvl="0" w:tplc="16B8058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9F7DEF"/>
    <w:multiLevelType w:val="hybridMultilevel"/>
    <w:tmpl w:val="8F727206"/>
    <w:lvl w:ilvl="0" w:tplc="3594E54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
  </w:num>
  <w:num w:numId="3">
    <w:abstractNumId w:val="3"/>
  </w:num>
  <w:num w:numId="4">
    <w:abstractNumId w:val="4"/>
  </w:num>
  <w:num w:numId="5">
    <w:abstractNumId w:val="15"/>
  </w:num>
  <w:num w:numId="6">
    <w:abstractNumId w:val="16"/>
  </w:num>
  <w:num w:numId="7">
    <w:abstractNumId w:val="10"/>
  </w:num>
  <w:num w:numId="8">
    <w:abstractNumId w:val="10"/>
    <w:lvlOverride w:ilvl="0">
      <w:startOverride w:val="1"/>
    </w:lvlOverride>
  </w:num>
  <w:num w:numId="9">
    <w:abstractNumId w:val="17"/>
  </w:num>
  <w:num w:numId="10">
    <w:abstractNumId w:val="0"/>
  </w:num>
  <w:num w:numId="11">
    <w:abstractNumId w:val="19"/>
  </w:num>
  <w:num w:numId="12">
    <w:abstractNumId w:val="6"/>
  </w:num>
  <w:num w:numId="13">
    <w:abstractNumId w:val="8"/>
  </w:num>
  <w:num w:numId="14">
    <w:abstractNumId w:val="7"/>
  </w:num>
  <w:num w:numId="15">
    <w:abstractNumId w:val="2"/>
  </w:num>
  <w:num w:numId="16">
    <w:abstractNumId w:val="11"/>
  </w:num>
  <w:num w:numId="17">
    <w:abstractNumId w:val="9"/>
  </w:num>
  <w:num w:numId="18">
    <w:abstractNumId w:val="14"/>
  </w:num>
  <w:num w:numId="19">
    <w:abstractNumId w:val="12"/>
  </w:num>
  <w:num w:numId="20">
    <w:abstractNumId w:val="1"/>
  </w:num>
  <w:num w:numId="2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8CA"/>
    <w:rsid w:val="000002DA"/>
    <w:rsid w:val="00000E51"/>
    <w:rsid w:val="00001129"/>
    <w:rsid w:val="0000145B"/>
    <w:rsid w:val="00001992"/>
    <w:rsid w:val="00001A36"/>
    <w:rsid w:val="00001B61"/>
    <w:rsid w:val="00001F15"/>
    <w:rsid w:val="00003A0D"/>
    <w:rsid w:val="0000465F"/>
    <w:rsid w:val="00004A8D"/>
    <w:rsid w:val="000050D9"/>
    <w:rsid w:val="00006C10"/>
    <w:rsid w:val="000071D2"/>
    <w:rsid w:val="00010450"/>
    <w:rsid w:val="0001221F"/>
    <w:rsid w:val="000128C9"/>
    <w:rsid w:val="00012CBF"/>
    <w:rsid w:val="00013085"/>
    <w:rsid w:val="00014188"/>
    <w:rsid w:val="000142D8"/>
    <w:rsid w:val="0001526E"/>
    <w:rsid w:val="00015745"/>
    <w:rsid w:val="00015E44"/>
    <w:rsid w:val="0001690F"/>
    <w:rsid w:val="00017331"/>
    <w:rsid w:val="00017B97"/>
    <w:rsid w:val="00020ECC"/>
    <w:rsid w:val="000222F9"/>
    <w:rsid w:val="000227F9"/>
    <w:rsid w:val="00022F44"/>
    <w:rsid w:val="000233FB"/>
    <w:rsid w:val="00024BBD"/>
    <w:rsid w:val="00026054"/>
    <w:rsid w:val="0002771D"/>
    <w:rsid w:val="000279B0"/>
    <w:rsid w:val="000309D3"/>
    <w:rsid w:val="00030FAD"/>
    <w:rsid w:val="000310AE"/>
    <w:rsid w:val="00032B9F"/>
    <w:rsid w:val="0003346D"/>
    <w:rsid w:val="000343AF"/>
    <w:rsid w:val="00034DC3"/>
    <w:rsid w:val="00034F88"/>
    <w:rsid w:val="000357AD"/>
    <w:rsid w:val="000362D3"/>
    <w:rsid w:val="00036809"/>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3A8A"/>
    <w:rsid w:val="00054368"/>
    <w:rsid w:val="00055071"/>
    <w:rsid w:val="00055DFE"/>
    <w:rsid w:val="000565C9"/>
    <w:rsid w:val="00056E2E"/>
    <w:rsid w:val="00057EA6"/>
    <w:rsid w:val="000602D5"/>
    <w:rsid w:val="00060A42"/>
    <w:rsid w:val="000619A6"/>
    <w:rsid w:val="00061AE9"/>
    <w:rsid w:val="00061CD0"/>
    <w:rsid w:val="00061DC3"/>
    <w:rsid w:val="000628F0"/>
    <w:rsid w:val="000634FF"/>
    <w:rsid w:val="00063B97"/>
    <w:rsid w:val="000642F6"/>
    <w:rsid w:val="00064F4F"/>
    <w:rsid w:val="00064F94"/>
    <w:rsid w:val="0006550F"/>
    <w:rsid w:val="000656F7"/>
    <w:rsid w:val="00066355"/>
    <w:rsid w:val="000663CD"/>
    <w:rsid w:val="000701DD"/>
    <w:rsid w:val="00070BBA"/>
    <w:rsid w:val="00070C59"/>
    <w:rsid w:val="00071286"/>
    <w:rsid w:val="0007340D"/>
    <w:rsid w:val="0007465F"/>
    <w:rsid w:val="000749C5"/>
    <w:rsid w:val="000756A0"/>
    <w:rsid w:val="0007675E"/>
    <w:rsid w:val="00076818"/>
    <w:rsid w:val="00080497"/>
    <w:rsid w:val="000816E0"/>
    <w:rsid w:val="00081AE5"/>
    <w:rsid w:val="0008201A"/>
    <w:rsid w:val="000839CB"/>
    <w:rsid w:val="00084BE1"/>
    <w:rsid w:val="000867D3"/>
    <w:rsid w:val="000877F7"/>
    <w:rsid w:val="00087F77"/>
    <w:rsid w:val="0009020F"/>
    <w:rsid w:val="00091411"/>
    <w:rsid w:val="000918F8"/>
    <w:rsid w:val="00091D7A"/>
    <w:rsid w:val="00092D3A"/>
    <w:rsid w:val="00094B2E"/>
    <w:rsid w:val="00095114"/>
    <w:rsid w:val="00095231"/>
    <w:rsid w:val="0009593C"/>
    <w:rsid w:val="00096017"/>
    <w:rsid w:val="0009733D"/>
    <w:rsid w:val="00097BA5"/>
    <w:rsid w:val="000A0478"/>
    <w:rsid w:val="000A12C3"/>
    <w:rsid w:val="000A18DC"/>
    <w:rsid w:val="000A1C7B"/>
    <w:rsid w:val="000A1D0D"/>
    <w:rsid w:val="000A54FA"/>
    <w:rsid w:val="000A5F06"/>
    <w:rsid w:val="000A6312"/>
    <w:rsid w:val="000A6660"/>
    <w:rsid w:val="000A69C9"/>
    <w:rsid w:val="000A6BFB"/>
    <w:rsid w:val="000A7CF8"/>
    <w:rsid w:val="000B0950"/>
    <w:rsid w:val="000B0E51"/>
    <w:rsid w:val="000B23C5"/>
    <w:rsid w:val="000B34BB"/>
    <w:rsid w:val="000B457D"/>
    <w:rsid w:val="000B4EE7"/>
    <w:rsid w:val="000B5659"/>
    <w:rsid w:val="000B578D"/>
    <w:rsid w:val="000B5796"/>
    <w:rsid w:val="000B5968"/>
    <w:rsid w:val="000B601B"/>
    <w:rsid w:val="000B63CE"/>
    <w:rsid w:val="000B69FC"/>
    <w:rsid w:val="000B7404"/>
    <w:rsid w:val="000C03E1"/>
    <w:rsid w:val="000C1621"/>
    <w:rsid w:val="000C1649"/>
    <w:rsid w:val="000C1E67"/>
    <w:rsid w:val="000C2D0F"/>
    <w:rsid w:val="000C3D70"/>
    <w:rsid w:val="000C42A5"/>
    <w:rsid w:val="000C5C9F"/>
    <w:rsid w:val="000C7210"/>
    <w:rsid w:val="000C745C"/>
    <w:rsid w:val="000C79C1"/>
    <w:rsid w:val="000D019B"/>
    <w:rsid w:val="000D1071"/>
    <w:rsid w:val="000D1E13"/>
    <w:rsid w:val="000D26DA"/>
    <w:rsid w:val="000D3C2C"/>
    <w:rsid w:val="000D3F8C"/>
    <w:rsid w:val="000D4110"/>
    <w:rsid w:val="000D41D1"/>
    <w:rsid w:val="000D46A6"/>
    <w:rsid w:val="000D58F6"/>
    <w:rsid w:val="000D70D6"/>
    <w:rsid w:val="000D724C"/>
    <w:rsid w:val="000D760A"/>
    <w:rsid w:val="000D7647"/>
    <w:rsid w:val="000D7E29"/>
    <w:rsid w:val="000E0A3A"/>
    <w:rsid w:val="000E1B52"/>
    <w:rsid w:val="000E202B"/>
    <w:rsid w:val="000E2D49"/>
    <w:rsid w:val="000E32B8"/>
    <w:rsid w:val="000E3F3B"/>
    <w:rsid w:val="000E40AE"/>
    <w:rsid w:val="000E4A9E"/>
    <w:rsid w:val="000E4AF3"/>
    <w:rsid w:val="000E592C"/>
    <w:rsid w:val="000E6828"/>
    <w:rsid w:val="000E6A71"/>
    <w:rsid w:val="000E73FD"/>
    <w:rsid w:val="000F1E1F"/>
    <w:rsid w:val="000F297E"/>
    <w:rsid w:val="000F4D46"/>
    <w:rsid w:val="000F50D7"/>
    <w:rsid w:val="000F5F27"/>
    <w:rsid w:val="00100958"/>
    <w:rsid w:val="001017CC"/>
    <w:rsid w:val="0010241A"/>
    <w:rsid w:val="00103D42"/>
    <w:rsid w:val="001040D9"/>
    <w:rsid w:val="001040DB"/>
    <w:rsid w:val="0010474E"/>
    <w:rsid w:val="00104B55"/>
    <w:rsid w:val="001054A9"/>
    <w:rsid w:val="00105E6A"/>
    <w:rsid w:val="00105E74"/>
    <w:rsid w:val="00106117"/>
    <w:rsid w:val="00106A6A"/>
    <w:rsid w:val="0011031A"/>
    <w:rsid w:val="001109E5"/>
    <w:rsid w:val="001113CD"/>
    <w:rsid w:val="0011142F"/>
    <w:rsid w:val="00111E1D"/>
    <w:rsid w:val="00112EBC"/>
    <w:rsid w:val="00113FFD"/>
    <w:rsid w:val="00115A53"/>
    <w:rsid w:val="00115ECF"/>
    <w:rsid w:val="001169DC"/>
    <w:rsid w:val="0012009F"/>
    <w:rsid w:val="0012021A"/>
    <w:rsid w:val="001207ED"/>
    <w:rsid w:val="00120C6A"/>
    <w:rsid w:val="00122AB9"/>
    <w:rsid w:val="001239CC"/>
    <w:rsid w:val="0012499B"/>
    <w:rsid w:val="00125D9B"/>
    <w:rsid w:val="001267DD"/>
    <w:rsid w:val="00127C9B"/>
    <w:rsid w:val="001302B7"/>
    <w:rsid w:val="00131BC3"/>
    <w:rsid w:val="00132596"/>
    <w:rsid w:val="00132C57"/>
    <w:rsid w:val="00135A43"/>
    <w:rsid w:val="00135E9D"/>
    <w:rsid w:val="00136E3D"/>
    <w:rsid w:val="00137002"/>
    <w:rsid w:val="0013716E"/>
    <w:rsid w:val="00140A43"/>
    <w:rsid w:val="00141AF9"/>
    <w:rsid w:val="001425D2"/>
    <w:rsid w:val="001428AD"/>
    <w:rsid w:val="00142959"/>
    <w:rsid w:val="00142F55"/>
    <w:rsid w:val="00143727"/>
    <w:rsid w:val="0014387F"/>
    <w:rsid w:val="00144889"/>
    <w:rsid w:val="0014527F"/>
    <w:rsid w:val="00145705"/>
    <w:rsid w:val="00145A59"/>
    <w:rsid w:val="00145A7C"/>
    <w:rsid w:val="00147C7F"/>
    <w:rsid w:val="00147F1A"/>
    <w:rsid w:val="001508EE"/>
    <w:rsid w:val="00150F93"/>
    <w:rsid w:val="00152186"/>
    <w:rsid w:val="0015281A"/>
    <w:rsid w:val="00152D58"/>
    <w:rsid w:val="00153F54"/>
    <w:rsid w:val="00154925"/>
    <w:rsid w:val="001549DD"/>
    <w:rsid w:val="0015518A"/>
    <w:rsid w:val="0015555C"/>
    <w:rsid w:val="001567FB"/>
    <w:rsid w:val="00156ED7"/>
    <w:rsid w:val="00157A3C"/>
    <w:rsid w:val="00160471"/>
    <w:rsid w:val="00160C34"/>
    <w:rsid w:val="0016293F"/>
    <w:rsid w:val="00162B3E"/>
    <w:rsid w:val="00162D7C"/>
    <w:rsid w:val="0016494D"/>
    <w:rsid w:val="00164A27"/>
    <w:rsid w:val="00165A73"/>
    <w:rsid w:val="00165DBC"/>
    <w:rsid w:val="0016641B"/>
    <w:rsid w:val="0016670D"/>
    <w:rsid w:val="001675B3"/>
    <w:rsid w:val="00167D08"/>
    <w:rsid w:val="00170589"/>
    <w:rsid w:val="0017240A"/>
    <w:rsid w:val="0017318B"/>
    <w:rsid w:val="00173929"/>
    <w:rsid w:val="00173A09"/>
    <w:rsid w:val="00174D6D"/>
    <w:rsid w:val="00175F5C"/>
    <w:rsid w:val="00177943"/>
    <w:rsid w:val="001803E7"/>
    <w:rsid w:val="00180789"/>
    <w:rsid w:val="0018102E"/>
    <w:rsid w:val="0018151B"/>
    <w:rsid w:val="00181587"/>
    <w:rsid w:val="001817BF"/>
    <w:rsid w:val="00183047"/>
    <w:rsid w:val="00184193"/>
    <w:rsid w:val="001841A9"/>
    <w:rsid w:val="001849EE"/>
    <w:rsid w:val="001864FC"/>
    <w:rsid w:val="0018654F"/>
    <w:rsid w:val="001870E5"/>
    <w:rsid w:val="00187118"/>
    <w:rsid w:val="001874B0"/>
    <w:rsid w:val="001874E6"/>
    <w:rsid w:val="001905F7"/>
    <w:rsid w:val="00190FC9"/>
    <w:rsid w:val="00191B01"/>
    <w:rsid w:val="001922B5"/>
    <w:rsid w:val="00192B54"/>
    <w:rsid w:val="00192BBB"/>
    <w:rsid w:val="00192EA9"/>
    <w:rsid w:val="001936CA"/>
    <w:rsid w:val="0019391E"/>
    <w:rsid w:val="00194343"/>
    <w:rsid w:val="0019455B"/>
    <w:rsid w:val="00195DCC"/>
    <w:rsid w:val="00196034"/>
    <w:rsid w:val="00196462"/>
    <w:rsid w:val="0019699E"/>
    <w:rsid w:val="001979E7"/>
    <w:rsid w:val="001A0122"/>
    <w:rsid w:val="001A12D7"/>
    <w:rsid w:val="001A155B"/>
    <w:rsid w:val="001A1663"/>
    <w:rsid w:val="001A2D9D"/>
    <w:rsid w:val="001A3E8B"/>
    <w:rsid w:val="001A487B"/>
    <w:rsid w:val="001A4AE1"/>
    <w:rsid w:val="001A4CC0"/>
    <w:rsid w:val="001B0985"/>
    <w:rsid w:val="001B0B03"/>
    <w:rsid w:val="001B0D5C"/>
    <w:rsid w:val="001B1250"/>
    <w:rsid w:val="001B19FC"/>
    <w:rsid w:val="001B1F3C"/>
    <w:rsid w:val="001B2035"/>
    <w:rsid w:val="001B3619"/>
    <w:rsid w:val="001B36EC"/>
    <w:rsid w:val="001B394C"/>
    <w:rsid w:val="001B39C2"/>
    <w:rsid w:val="001B4779"/>
    <w:rsid w:val="001B4793"/>
    <w:rsid w:val="001B4B6D"/>
    <w:rsid w:val="001B5447"/>
    <w:rsid w:val="001B60C8"/>
    <w:rsid w:val="001B7F01"/>
    <w:rsid w:val="001B7F35"/>
    <w:rsid w:val="001C0415"/>
    <w:rsid w:val="001C1015"/>
    <w:rsid w:val="001C16E7"/>
    <w:rsid w:val="001C193A"/>
    <w:rsid w:val="001C2765"/>
    <w:rsid w:val="001C283D"/>
    <w:rsid w:val="001C2953"/>
    <w:rsid w:val="001C2E09"/>
    <w:rsid w:val="001C2FC1"/>
    <w:rsid w:val="001C33B1"/>
    <w:rsid w:val="001C3801"/>
    <w:rsid w:val="001C3ADD"/>
    <w:rsid w:val="001C4BFD"/>
    <w:rsid w:val="001C54C7"/>
    <w:rsid w:val="001C551E"/>
    <w:rsid w:val="001C56DD"/>
    <w:rsid w:val="001C63AD"/>
    <w:rsid w:val="001C63C5"/>
    <w:rsid w:val="001C64E4"/>
    <w:rsid w:val="001C76B1"/>
    <w:rsid w:val="001D0169"/>
    <w:rsid w:val="001D04BF"/>
    <w:rsid w:val="001D0D44"/>
    <w:rsid w:val="001D1B40"/>
    <w:rsid w:val="001D1EE8"/>
    <w:rsid w:val="001D5750"/>
    <w:rsid w:val="001D5A24"/>
    <w:rsid w:val="001D5B4D"/>
    <w:rsid w:val="001D638A"/>
    <w:rsid w:val="001D7085"/>
    <w:rsid w:val="001D735F"/>
    <w:rsid w:val="001E03E2"/>
    <w:rsid w:val="001E03F9"/>
    <w:rsid w:val="001E0830"/>
    <w:rsid w:val="001E2911"/>
    <w:rsid w:val="001E2B79"/>
    <w:rsid w:val="001E31D8"/>
    <w:rsid w:val="001E40AC"/>
    <w:rsid w:val="001E58E7"/>
    <w:rsid w:val="001E74E8"/>
    <w:rsid w:val="001E7C2B"/>
    <w:rsid w:val="001F2259"/>
    <w:rsid w:val="001F2788"/>
    <w:rsid w:val="001F27A5"/>
    <w:rsid w:val="001F27DC"/>
    <w:rsid w:val="001F2E64"/>
    <w:rsid w:val="001F3177"/>
    <w:rsid w:val="001F327A"/>
    <w:rsid w:val="001F3292"/>
    <w:rsid w:val="001F3512"/>
    <w:rsid w:val="001F4CAC"/>
    <w:rsid w:val="001F52DA"/>
    <w:rsid w:val="001F74DF"/>
    <w:rsid w:val="001F7744"/>
    <w:rsid w:val="002001B6"/>
    <w:rsid w:val="0020337E"/>
    <w:rsid w:val="00203BD6"/>
    <w:rsid w:val="00204615"/>
    <w:rsid w:val="00205090"/>
    <w:rsid w:val="0020595E"/>
    <w:rsid w:val="00205F78"/>
    <w:rsid w:val="00206044"/>
    <w:rsid w:val="00206953"/>
    <w:rsid w:val="00207B81"/>
    <w:rsid w:val="002106A8"/>
    <w:rsid w:val="00210770"/>
    <w:rsid w:val="002116F1"/>
    <w:rsid w:val="002120AE"/>
    <w:rsid w:val="00212828"/>
    <w:rsid w:val="00212B66"/>
    <w:rsid w:val="00212BA2"/>
    <w:rsid w:val="002132B1"/>
    <w:rsid w:val="00215A5C"/>
    <w:rsid w:val="0021677E"/>
    <w:rsid w:val="0021785F"/>
    <w:rsid w:val="00217D77"/>
    <w:rsid w:val="002215F7"/>
    <w:rsid w:val="0022180E"/>
    <w:rsid w:val="0022285F"/>
    <w:rsid w:val="00223238"/>
    <w:rsid w:val="00223761"/>
    <w:rsid w:val="00225283"/>
    <w:rsid w:val="0022653B"/>
    <w:rsid w:val="0022681A"/>
    <w:rsid w:val="0022692C"/>
    <w:rsid w:val="00230CA5"/>
    <w:rsid w:val="002326A0"/>
    <w:rsid w:val="00232AE0"/>
    <w:rsid w:val="00232B5D"/>
    <w:rsid w:val="00233DDF"/>
    <w:rsid w:val="002348E4"/>
    <w:rsid w:val="00234F56"/>
    <w:rsid w:val="002352FA"/>
    <w:rsid w:val="002354B5"/>
    <w:rsid w:val="00236560"/>
    <w:rsid w:val="00236997"/>
    <w:rsid w:val="00237629"/>
    <w:rsid w:val="0023773B"/>
    <w:rsid w:val="00237764"/>
    <w:rsid w:val="002377CF"/>
    <w:rsid w:val="00237DAA"/>
    <w:rsid w:val="0024010C"/>
    <w:rsid w:val="002401DA"/>
    <w:rsid w:val="00240BDD"/>
    <w:rsid w:val="00241DE7"/>
    <w:rsid w:val="00242234"/>
    <w:rsid w:val="00242B03"/>
    <w:rsid w:val="00243577"/>
    <w:rsid w:val="002437B9"/>
    <w:rsid w:val="0024382D"/>
    <w:rsid w:val="00244CF7"/>
    <w:rsid w:val="0024599A"/>
    <w:rsid w:val="00245C36"/>
    <w:rsid w:val="00246194"/>
    <w:rsid w:val="00246F19"/>
    <w:rsid w:val="00247780"/>
    <w:rsid w:val="00247987"/>
    <w:rsid w:val="00250C15"/>
    <w:rsid w:val="00250D87"/>
    <w:rsid w:val="002518CF"/>
    <w:rsid w:val="002536C1"/>
    <w:rsid w:val="002556CD"/>
    <w:rsid w:val="0025775E"/>
    <w:rsid w:val="00257B2B"/>
    <w:rsid w:val="00257ED5"/>
    <w:rsid w:val="0026003A"/>
    <w:rsid w:val="002610BE"/>
    <w:rsid w:val="00261EC5"/>
    <w:rsid w:val="002622A2"/>
    <w:rsid w:val="00263D7F"/>
    <w:rsid w:val="00264177"/>
    <w:rsid w:val="00264DFE"/>
    <w:rsid w:val="00265059"/>
    <w:rsid w:val="0026556E"/>
    <w:rsid w:val="00265DAC"/>
    <w:rsid w:val="00265F52"/>
    <w:rsid w:val="00265F7A"/>
    <w:rsid w:val="00265FE7"/>
    <w:rsid w:val="002665C5"/>
    <w:rsid w:val="00266D96"/>
    <w:rsid w:val="00266F34"/>
    <w:rsid w:val="002670D0"/>
    <w:rsid w:val="00267477"/>
    <w:rsid w:val="00267502"/>
    <w:rsid w:val="0026795F"/>
    <w:rsid w:val="00267989"/>
    <w:rsid w:val="00270155"/>
    <w:rsid w:val="00270220"/>
    <w:rsid w:val="00270232"/>
    <w:rsid w:val="002705B8"/>
    <w:rsid w:val="00270DC2"/>
    <w:rsid w:val="002720C6"/>
    <w:rsid w:val="00272202"/>
    <w:rsid w:val="002727D6"/>
    <w:rsid w:val="00272A08"/>
    <w:rsid w:val="00272E55"/>
    <w:rsid w:val="00273094"/>
    <w:rsid w:val="00273189"/>
    <w:rsid w:val="002747D3"/>
    <w:rsid w:val="00275488"/>
    <w:rsid w:val="002755E0"/>
    <w:rsid w:val="00275C6D"/>
    <w:rsid w:val="00275E23"/>
    <w:rsid w:val="00275F24"/>
    <w:rsid w:val="0027645D"/>
    <w:rsid w:val="00276777"/>
    <w:rsid w:val="002773CB"/>
    <w:rsid w:val="0027757D"/>
    <w:rsid w:val="002775ED"/>
    <w:rsid w:val="00281BD1"/>
    <w:rsid w:val="00282127"/>
    <w:rsid w:val="00283258"/>
    <w:rsid w:val="00283E23"/>
    <w:rsid w:val="0028433B"/>
    <w:rsid w:val="002847DD"/>
    <w:rsid w:val="002856E5"/>
    <w:rsid w:val="00285BDB"/>
    <w:rsid w:val="00286020"/>
    <w:rsid w:val="00286804"/>
    <w:rsid w:val="0029085A"/>
    <w:rsid w:val="00291BD9"/>
    <w:rsid w:val="00291D82"/>
    <w:rsid w:val="002921B4"/>
    <w:rsid w:val="00292AC6"/>
    <w:rsid w:val="00292D72"/>
    <w:rsid w:val="002932DA"/>
    <w:rsid w:val="00293402"/>
    <w:rsid w:val="00293D1B"/>
    <w:rsid w:val="0029538D"/>
    <w:rsid w:val="002957EC"/>
    <w:rsid w:val="00295F6F"/>
    <w:rsid w:val="00295F9E"/>
    <w:rsid w:val="0029620C"/>
    <w:rsid w:val="00297506"/>
    <w:rsid w:val="002A1914"/>
    <w:rsid w:val="002A1D67"/>
    <w:rsid w:val="002A2061"/>
    <w:rsid w:val="002A2725"/>
    <w:rsid w:val="002A2DB9"/>
    <w:rsid w:val="002A347C"/>
    <w:rsid w:val="002A3793"/>
    <w:rsid w:val="002A37CA"/>
    <w:rsid w:val="002A3BF6"/>
    <w:rsid w:val="002A5953"/>
    <w:rsid w:val="002A6044"/>
    <w:rsid w:val="002A6424"/>
    <w:rsid w:val="002A6907"/>
    <w:rsid w:val="002A6A1F"/>
    <w:rsid w:val="002A76C7"/>
    <w:rsid w:val="002A7BDD"/>
    <w:rsid w:val="002A7DEA"/>
    <w:rsid w:val="002B0706"/>
    <w:rsid w:val="002B084E"/>
    <w:rsid w:val="002B107D"/>
    <w:rsid w:val="002B1BF4"/>
    <w:rsid w:val="002B1F96"/>
    <w:rsid w:val="002B222A"/>
    <w:rsid w:val="002B272B"/>
    <w:rsid w:val="002B2B96"/>
    <w:rsid w:val="002B2E78"/>
    <w:rsid w:val="002B2F60"/>
    <w:rsid w:val="002B314A"/>
    <w:rsid w:val="002B4108"/>
    <w:rsid w:val="002B4A95"/>
    <w:rsid w:val="002B4BE7"/>
    <w:rsid w:val="002B4E2E"/>
    <w:rsid w:val="002B5921"/>
    <w:rsid w:val="002B5EFE"/>
    <w:rsid w:val="002B6C93"/>
    <w:rsid w:val="002B74F9"/>
    <w:rsid w:val="002B7901"/>
    <w:rsid w:val="002C118A"/>
    <w:rsid w:val="002C1A0F"/>
    <w:rsid w:val="002C2AFA"/>
    <w:rsid w:val="002C2EE6"/>
    <w:rsid w:val="002C36F8"/>
    <w:rsid w:val="002C5546"/>
    <w:rsid w:val="002C6420"/>
    <w:rsid w:val="002C6494"/>
    <w:rsid w:val="002C684C"/>
    <w:rsid w:val="002D283E"/>
    <w:rsid w:val="002D2B2C"/>
    <w:rsid w:val="002D347A"/>
    <w:rsid w:val="002D3908"/>
    <w:rsid w:val="002D53BD"/>
    <w:rsid w:val="002D5D39"/>
    <w:rsid w:val="002D5EE7"/>
    <w:rsid w:val="002D6CE5"/>
    <w:rsid w:val="002D6F14"/>
    <w:rsid w:val="002D7820"/>
    <w:rsid w:val="002E0459"/>
    <w:rsid w:val="002E05B7"/>
    <w:rsid w:val="002E0EAE"/>
    <w:rsid w:val="002E0F5D"/>
    <w:rsid w:val="002E1941"/>
    <w:rsid w:val="002E245B"/>
    <w:rsid w:val="002E2EE9"/>
    <w:rsid w:val="002E3010"/>
    <w:rsid w:val="002E38F9"/>
    <w:rsid w:val="002E4B7A"/>
    <w:rsid w:val="002E5F2A"/>
    <w:rsid w:val="002E6423"/>
    <w:rsid w:val="002E6890"/>
    <w:rsid w:val="002E6EA9"/>
    <w:rsid w:val="002F1C7C"/>
    <w:rsid w:val="002F4B65"/>
    <w:rsid w:val="002F642E"/>
    <w:rsid w:val="002F6A4A"/>
    <w:rsid w:val="002F6D2D"/>
    <w:rsid w:val="002F7AD5"/>
    <w:rsid w:val="003011F1"/>
    <w:rsid w:val="00301568"/>
    <w:rsid w:val="0030159E"/>
    <w:rsid w:val="00301A72"/>
    <w:rsid w:val="00301EAC"/>
    <w:rsid w:val="0030274C"/>
    <w:rsid w:val="00302AF9"/>
    <w:rsid w:val="003030A1"/>
    <w:rsid w:val="00303424"/>
    <w:rsid w:val="00304070"/>
    <w:rsid w:val="0030417E"/>
    <w:rsid w:val="003045FD"/>
    <w:rsid w:val="00305231"/>
    <w:rsid w:val="00305346"/>
    <w:rsid w:val="00305600"/>
    <w:rsid w:val="00305930"/>
    <w:rsid w:val="00305C20"/>
    <w:rsid w:val="0030708C"/>
    <w:rsid w:val="00307904"/>
    <w:rsid w:val="00307FC5"/>
    <w:rsid w:val="0031012D"/>
    <w:rsid w:val="00310411"/>
    <w:rsid w:val="00311447"/>
    <w:rsid w:val="003116B4"/>
    <w:rsid w:val="00311D7A"/>
    <w:rsid w:val="00312593"/>
    <w:rsid w:val="00312C29"/>
    <w:rsid w:val="003142F8"/>
    <w:rsid w:val="003147C8"/>
    <w:rsid w:val="00314F7E"/>
    <w:rsid w:val="00315298"/>
    <w:rsid w:val="0031645D"/>
    <w:rsid w:val="00316559"/>
    <w:rsid w:val="0031680B"/>
    <w:rsid w:val="00316869"/>
    <w:rsid w:val="003171E7"/>
    <w:rsid w:val="00317370"/>
    <w:rsid w:val="00317AEA"/>
    <w:rsid w:val="0032047C"/>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343"/>
    <w:rsid w:val="00331541"/>
    <w:rsid w:val="00331550"/>
    <w:rsid w:val="003317C8"/>
    <w:rsid w:val="0033197E"/>
    <w:rsid w:val="00332BA5"/>
    <w:rsid w:val="00332F3B"/>
    <w:rsid w:val="003332FA"/>
    <w:rsid w:val="003334B7"/>
    <w:rsid w:val="003334ED"/>
    <w:rsid w:val="0033442C"/>
    <w:rsid w:val="00334F69"/>
    <w:rsid w:val="00335788"/>
    <w:rsid w:val="00335F0E"/>
    <w:rsid w:val="00336508"/>
    <w:rsid w:val="00336BE5"/>
    <w:rsid w:val="0033767D"/>
    <w:rsid w:val="003404E8"/>
    <w:rsid w:val="00340549"/>
    <w:rsid w:val="00341B9B"/>
    <w:rsid w:val="00341D45"/>
    <w:rsid w:val="00342B3B"/>
    <w:rsid w:val="00342BD1"/>
    <w:rsid w:val="00342DF9"/>
    <w:rsid w:val="003434D7"/>
    <w:rsid w:val="00343AAC"/>
    <w:rsid w:val="003442C1"/>
    <w:rsid w:val="00344AA5"/>
    <w:rsid w:val="00344D3C"/>
    <w:rsid w:val="0034515C"/>
    <w:rsid w:val="00345AF9"/>
    <w:rsid w:val="003460FF"/>
    <w:rsid w:val="003461F5"/>
    <w:rsid w:val="003462C7"/>
    <w:rsid w:val="00347CE9"/>
    <w:rsid w:val="00350AC9"/>
    <w:rsid w:val="00350EA8"/>
    <w:rsid w:val="0035161B"/>
    <w:rsid w:val="00351ADB"/>
    <w:rsid w:val="00352373"/>
    <w:rsid w:val="0035238F"/>
    <w:rsid w:val="00352F88"/>
    <w:rsid w:val="00353CE5"/>
    <w:rsid w:val="00354B58"/>
    <w:rsid w:val="00354D8A"/>
    <w:rsid w:val="003557BF"/>
    <w:rsid w:val="00356339"/>
    <w:rsid w:val="00356CAE"/>
    <w:rsid w:val="0036023F"/>
    <w:rsid w:val="003616B0"/>
    <w:rsid w:val="003627DC"/>
    <w:rsid w:val="00362EB7"/>
    <w:rsid w:val="0036355B"/>
    <w:rsid w:val="003636BB"/>
    <w:rsid w:val="0036459C"/>
    <w:rsid w:val="00364EB8"/>
    <w:rsid w:val="003650CE"/>
    <w:rsid w:val="003651ED"/>
    <w:rsid w:val="00365382"/>
    <w:rsid w:val="00366254"/>
    <w:rsid w:val="0036679B"/>
    <w:rsid w:val="00366D25"/>
    <w:rsid w:val="00366DA6"/>
    <w:rsid w:val="003675FB"/>
    <w:rsid w:val="00367824"/>
    <w:rsid w:val="00371293"/>
    <w:rsid w:val="00371955"/>
    <w:rsid w:val="003719DB"/>
    <w:rsid w:val="0037244B"/>
    <w:rsid w:val="0037283E"/>
    <w:rsid w:val="00372C86"/>
    <w:rsid w:val="003734A1"/>
    <w:rsid w:val="003735F5"/>
    <w:rsid w:val="0037380E"/>
    <w:rsid w:val="00374702"/>
    <w:rsid w:val="00375872"/>
    <w:rsid w:val="003767CE"/>
    <w:rsid w:val="00377442"/>
    <w:rsid w:val="00377EE7"/>
    <w:rsid w:val="00380692"/>
    <w:rsid w:val="00381553"/>
    <w:rsid w:val="00382211"/>
    <w:rsid w:val="003828C5"/>
    <w:rsid w:val="00383075"/>
    <w:rsid w:val="003841AD"/>
    <w:rsid w:val="00385527"/>
    <w:rsid w:val="00385943"/>
    <w:rsid w:val="0038613B"/>
    <w:rsid w:val="00390B06"/>
    <w:rsid w:val="00390EBA"/>
    <w:rsid w:val="00391C92"/>
    <w:rsid w:val="00391F9D"/>
    <w:rsid w:val="0039330F"/>
    <w:rsid w:val="003935BA"/>
    <w:rsid w:val="00393639"/>
    <w:rsid w:val="00393753"/>
    <w:rsid w:val="00393D75"/>
    <w:rsid w:val="003961CC"/>
    <w:rsid w:val="00396258"/>
    <w:rsid w:val="0039668C"/>
    <w:rsid w:val="003972E9"/>
    <w:rsid w:val="00397C0E"/>
    <w:rsid w:val="003A07CE"/>
    <w:rsid w:val="003A0FC1"/>
    <w:rsid w:val="003A1372"/>
    <w:rsid w:val="003A1D77"/>
    <w:rsid w:val="003A1E71"/>
    <w:rsid w:val="003A2475"/>
    <w:rsid w:val="003A26DD"/>
    <w:rsid w:val="003A2A7E"/>
    <w:rsid w:val="003A2D74"/>
    <w:rsid w:val="003A3BAC"/>
    <w:rsid w:val="003A3D3F"/>
    <w:rsid w:val="003A3EE5"/>
    <w:rsid w:val="003A4355"/>
    <w:rsid w:val="003A57FC"/>
    <w:rsid w:val="003A5DC5"/>
    <w:rsid w:val="003A5FC2"/>
    <w:rsid w:val="003A6146"/>
    <w:rsid w:val="003A6589"/>
    <w:rsid w:val="003A680E"/>
    <w:rsid w:val="003A6FAF"/>
    <w:rsid w:val="003A7347"/>
    <w:rsid w:val="003A76C7"/>
    <w:rsid w:val="003B0943"/>
    <w:rsid w:val="003B0B9D"/>
    <w:rsid w:val="003B252F"/>
    <w:rsid w:val="003B2A3A"/>
    <w:rsid w:val="003B2F07"/>
    <w:rsid w:val="003B33DC"/>
    <w:rsid w:val="003B3444"/>
    <w:rsid w:val="003B3B7B"/>
    <w:rsid w:val="003B409D"/>
    <w:rsid w:val="003B43F4"/>
    <w:rsid w:val="003B51EF"/>
    <w:rsid w:val="003B527C"/>
    <w:rsid w:val="003B5F73"/>
    <w:rsid w:val="003B699D"/>
    <w:rsid w:val="003B7301"/>
    <w:rsid w:val="003B7520"/>
    <w:rsid w:val="003C253A"/>
    <w:rsid w:val="003C276F"/>
    <w:rsid w:val="003C2B67"/>
    <w:rsid w:val="003C3AF7"/>
    <w:rsid w:val="003C4735"/>
    <w:rsid w:val="003C4B4B"/>
    <w:rsid w:val="003C4FA5"/>
    <w:rsid w:val="003C5CA8"/>
    <w:rsid w:val="003C63ED"/>
    <w:rsid w:val="003C64D0"/>
    <w:rsid w:val="003C665A"/>
    <w:rsid w:val="003C6A11"/>
    <w:rsid w:val="003C6EF0"/>
    <w:rsid w:val="003C7E99"/>
    <w:rsid w:val="003C7FF1"/>
    <w:rsid w:val="003D36E7"/>
    <w:rsid w:val="003D53C7"/>
    <w:rsid w:val="003D546A"/>
    <w:rsid w:val="003D5888"/>
    <w:rsid w:val="003D5C77"/>
    <w:rsid w:val="003D7122"/>
    <w:rsid w:val="003E09FF"/>
    <w:rsid w:val="003E0BA3"/>
    <w:rsid w:val="003E0C00"/>
    <w:rsid w:val="003E1D70"/>
    <w:rsid w:val="003E1E5B"/>
    <w:rsid w:val="003E36B9"/>
    <w:rsid w:val="003E4B40"/>
    <w:rsid w:val="003E5817"/>
    <w:rsid w:val="003E6361"/>
    <w:rsid w:val="003E6D97"/>
    <w:rsid w:val="003E79D1"/>
    <w:rsid w:val="003F2223"/>
    <w:rsid w:val="003F287F"/>
    <w:rsid w:val="003F2DC5"/>
    <w:rsid w:val="003F3963"/>
    <w:rsid w:val="003F748C"/>
    <w:rsid w:val="004002DF"/>
    <w:rsid w:val="0040111D"/>
    <w:rsid w:val="0040156D"/>
    <w:rsid w:val="004015BB"/>
    <w:rsid w:val="00401A90"/>
    <w:rsid w:val="00402301"/>
    <w:rsid w:val="0040334B"/>
    <w:rsid w:val="00403830"/>
    <w:rsid w:val="004046E5"/>
    <w:rsid w:val="004058EB"/>
    <w:rsid w:val="00405B73"/>
    <w:rsid w:val="00406A96"/>
    <w:rsid w:val="0040703E"/>
    <w:rsid w:val="00407D0B"/>
    <w:rsid w:val="00410137"/>
    <w:rsid w:val="004104B2"/>
    <w:rsid w:val="00410C80"/>
    <w:rsid w:val="00411DE5"/>
    <w:rsid w:val="0041297A"/>
    <w:rsid w:val="00413089"/>
    <w:rsid w:val="004133DB"/>
    <w:rsid w:val="00414AB8"/>
    <w:rsid w:val="00415379"/>
    <w:rsid w:val="00415679"/>
    <w:rsid w:val="00415AB6"/>
    <w:rsid w:val="00416041"/>
    <w:rsid w:val="00416DD7"/>
    <w:rsid w:val="00416F13"/>
    <w:rsid w:val="00417E73"/>
    <w:rsid w:val="0042052E"/>
    <w:rsid w:val="00420D5E"/>
    <w:rsid w:val="00421AD0"/>
    <w:rsid w:val="004221E6"/>
    <w:rsid w:val="00422729"/>
    <w:rsid w:val="0042669E"/>
    <w:rsid w:val="004277D9"/>
    <w:rsid w:val="004301C4"/>
    <w:rsid w:val="00430762"/>
    <w:rsid w:val="004308E8"/>
    <w:rsid w:val="00430A5F"/>
    <w:rsid w:val="004327AC"/>
    <w:rsid w:val="004339FA"/>
    <w:rsid w:val="00434A6D"/>
    <w:rsid w:val="00437393"/>
    <w:rsid w:val="00437930"/>
    <w:rsid w:val="004404AA"/>
    <w:rsid w:val="004408D6"/>
    <w:rsid w:val="0044121D"/>
    <w:rsid w:val="0044136B"/>
    <w:rsid w:val="00441D8E"/>
    <w:rsid w:val="00441DAE"/>
    <w:rsid w:val="00442445"/>
    <w:rsid w:val="00443300"/>
    <w:rsid w:val="00444A47"/>
    <w:rsid w:val="00444A61"/>
    <w:rsid w:val="004464EC"/>
    <w:rsid w:val="004470F2"/>
    <w:rsid w:val="0044760D"/>
    <w:rsid w:val="0044760F"/>
    <w:rsid w:val="004479E5"/>
    <w:rsid w:val="00447AD1"/>
    <w:rsid w:val="0045118B"/>
    <w:rsid w:val="004531AD"/>
    <w:rsid w:val="0045320E"/>
    <w:rsid w:val="004536F5"/>
    <w:rsid w:val="00453765"/>
    <w:rsid w:val="0045436C"/>
    <w:rsid w:val="00454B6C"/>
    <w:rsid w:val="00455BFB"/>
    <w:rsid w:val="00456701"/>
    <w:rsid w:val="004568D2"/>
    <w:rsid w:val="00456C34"/>
    <w:rsid w:val="004572B9"/>
    <w:rsid w:val="00457D56"/>
    <w:rsid w:val="00457D90"/>
    <w:rsid w:val="00460396"/>
    <w:rsid w:val="00460716"/>
    <w:rsid w:val="004625C2"/>
    <w:rsid w:val="00463008"/>
    <w:rsid w:val="00464207"/>
    <w:rsid w:val="00464295"/>
    <w:rsid w:val="00464781"/>
    <w:rsid w:val="00464838"/>
    <w:rsid w:val="00464CD6"/>
    <w:rsid w:val="00465897"/>
    <w:rsid w:val="00466FAB"/>
    <w:rsid w:val="0047105D"/>
    <w:rsid w:val="00471C88"/>
    <w:rsid w:val="00472140"/>
    <w:rsid w:val="004728CC"/>
    <w:rsid w:val="00473CE5"/>
    <w:rsid w:val="00473ED5"/>
    <w:rsid w:val="004744F0"/>
    <w:rsid w:val="00474909"/>
    <w:rsid w:val="00474AE7"/>
    <w:rsid w:val="00474D0B"/>
    <w:rsid w:val="00475000"/>
    <w:rsid w:val="004750DF"/>
    <w:rsid w:val="004755A6"/>
    <w:rsid w:val="00476761"/>
    <w:rsid w:val="004768F8"/>
    <w:rsid w:val="004805A6"/>
    <w:rsid w:val="00480D65"/>
    <w:rsid w:val="00481A8B"/>
    <w:rsid w:val="00483C84"/>
    <w:rsid w:val="004842C7"/>
    <w:rsid w:val="0048510E"/>
    <w:rsid w:val="00485488"/>
    <w:rsid w:val="00486B3D"/>
    <w:rsid w:val="00486C46"/>
    <w:rsid w:val="00486C85"/>
    <w:rsid w:val="00486F4C"/>
    <w:rsid w:val="004870BB"/>
    <w:rsid w:val="00490732"/>
    <w:rsid w:val="00491B44"/>
    <w:rsid w:val="00491D0A"/>
    <w:rsid w:val="00492F96"/>
    <w:rsid w:val="004933BC"/>
    <w:rsid w:val="004937DE"/>
    <w:rsid w:val="00493E2F"/>
    <w:rsid w:val="004941A3"/>
    <w:rsid w:val="0049427D"/>
    <w:rsid w:val="00494D8F"/>
    <w:rsid w:val="004953F0"/>
    <w:rsid w:val="00495EC8"/>
    <w:rsid w:val="004964E4"/>
    <w:rsid w:val="0049774D"/>
    <w:rsid w:val="004A00E5"/>
    <w:rsid w:val="004A0574"/>
    <w:rsid w:val="004A09AF"/>
    <w:rsid w:val="004A1110"/>
    <w:rsid w:val="004A3A5F"/>
    <w:rsid w:val="004A3E12"/>
    <w:rsid w:val="004A4849"/>
    <w:rsid w:val="004A509C"/>
    <w:rsid w:val="004A6092"/>
    <w:rsid w:val="004A6DE2"/>
    <w:rsid w:val="004B027B"/>
    <w:rsid w:val="004B0395"/>
    <w:rsid w:val="004B1152"/>
    <w:rsid w:val="004B189C"/>
    <w:rsid w:val="004B281F"/>
    <w:rsid w:val="004B3435"/>
    <w:rsid w:val="004B34C2"/>
    <w:rsid w:val="004B35C5"/>
    <w:rsid w:val="004B3A28"/>
    <w:rsid w:val="004B42A4"/>
    <w:rsid w:val="004B4FF2"/>
    <w:rsid w:val="004B54E8"/>
    <w:rsid w:val="004B554D"/>
    <w:rsid w:val="004B5DA0"/>
    <w:rsid w:val="004B66B1"/>
    <w:rsid w:val="004B69B4"/>
    <w:rsid w:val="004B6D06"/>
    <w:rsid w:val="004B7948"/>
    <w:rsid w:val="004C14F7"/>
    <w:rsid w:val="004C155D"/>
    <w:rsid w:val="004C166E"/>
    <w:rsid w:val="004C1BB7"/>
    <w:rsid w:val="004C29BA"/>
    <w:rsid w:val="004C3A02"/>
    <w:rsid w:val="004C3D86"/>
    <w:rsid w:val="004C3DEF"/>
    <w:rsid w:val="004C63E6"/>
    <w:rsid w:val="004C662F"/>
    <w:rsid w:val="004C6BF9"/>
    <w:rsid w:val="004C7557"/>
    <w:rsid w:val="004C7975"/>
    <w:rsid w:val="004D0A50"/>
    <w:rsid w:val="004D0E2E"/>
    <w:rsid w:val="004D11BE"/>
    <w:rsid w:val="004D20DF"/>
    <w:rsid w:val="004D220D"/>
    <w:rsid w:val="004D270B"/>
    <w:rsid w:val="004D2B15"/>
    <w:rsid w:val="004D2D4A"/>
    <w:rsid w:val="004D3088"/>
    <w:rsid w:val="004D30B8"/>
    <w:rsid w:val="004D380A"/>
    <w:rsid w:val="004D39F0"/>
    <w:rsid w:val="004D4983"/>
    <w:rsid w:val="004D4DED"/>
    <w:rsid w:val="004D4DF8"/>
    <w:rsid w:val="004D5391"/>
    <w:rsid w:val="004D58B3"/>
    <w:rsid w:val="004D5AF0"/>
    <w:rsid w:val="004E021F"/>
    <w:rsid w:val="004E0408"/>
    <w:rsid w:val="004E1AD0"/>
    <w:rsid w:val="004E1F1B"/>
    <w:rsid w:val="004E2559"/>
    <w:rsid w:val="004E29A8"/>
    <w:rsid w:val="004E2B52"/>
    <w:rsid w:val="004E2F98"/>
    <w:rsid w:val="004E34D8"/>
    <w:rsid w:val="004E3E61"/>
    <w:rsid w:val="004E4060"/>
    <w:rsid w:val="004E440A"/>
    <w:rsid w:val="004E4872"/>
    <w:rsid w:val="004E4FA3"/>
    <w:rsid w:val="004E502E"/>
    <w:rsid w:val="004E56A6"/>
    <w:rsid w:val="004E605E"/>
    <w:rsid w:val="004E64F1"/>
    <w:rsid w:val="004E754D"/>
    <w:rsid w:val="004E7A2C"/>
    <w:rsid w:val="004E7DFB"/>
    <w:rsid w:val="004F0ABA"/>
    <w:rsid w:val="004F0D80"/>
    <w:rsid w:val="004F2CA0"/>
    <w:rsid w:val="004F2D73"/>
    <w:rsid w:val="004F34AD"/>
    <w:rsid w:val="004F3B5F"/>
    <w:rsid w:val="004F3BCF"/>
    <w:rsid w:val="004F4F0A"/>
    <w:rsid w:val="004F539F"/>
    <w:rsid w:val="004F557F"/>
    <w:rsid w:val="004F5BE5"/>
    <w:rsid w:val="004F66DC"/>
    <w:rsid w:val="005005E6"/>
    <w:rsid w:val="0050188A"/>
    <w:rsid w:val="005019B4"/>
    <w:rsid w:val="005029E8"/>
    <w:rsid w:val="00502ADA"/>
    <w:rsid w:val="00503238"/>
    <w:rsid w:val="005038A5"/>
    <w:rsid w:val="005043C6"/>
    <w:rsid w:val="00504938"/>
    <w:rsid w:val="00504F3D"/>
    <w:rsid w:val="00506547"/>
    <w:rsid w:val="005074E0"/>
    <w:rsid w:val="005078D8"/>
    <w:rsid w:val="00507F94"/>
    <w:rsid w:val="00510566"/>
    <w:rsid w:val="00511684"/>
    <w:rsid w:val="00512BD6"/>
    <w:rsid w:val="00513DD4"/>
    <w:rsid w:val="00514158"/>
    <w:rsid w:val="0051471D"/>
    <w:rsid w:val="005152A7"/>
    <w:rsid w:val="005164C8"/>
    <w:rsid w:val="0051671E"/>
    <w:rsid w:val="00517013"/>
    <w:rsid w:val="00517B69"/>
    <w:rsid w:val="00517DD3"/>
    <w:rsid w:val="00520297"/>
    <w:rsid w:val="0052130A"/>
    <w:rsid w:val="005213C6"/>
    <w:rsid w:val="00521AC0"/>
    <w:rsid w:val="00521F63"/>
    <w:rsid w:val="005222AC"/>
    <w:rsid w:val="005228B2"/>
    <w:rsid w:val="005231DE"/>
    <w:rsid w:val="00524174"/>
    <w:rsid w:val="00525276"/>
    <w:rsid w:val="00525978"/>
    <w:rsid w:val="00526B99"/>
    <w:rsid w:val="005307F4"/>
    <w:rsid w:val="00530B6F"/>
    <w:rsid w:val="005312A4"/>
    <w:rsid w:val="005317F1"/>
    <w:rsid w:val="00531B58"/>
    <w:rsid w:val="00531CE8"/>
    <w:rsid w:val="005321F1"/>
    <w:rsid w:val="00532C01"/>
    <w:rsid w:val="00533DF8"/>
    <w:rsid w:val="00534916"/>
    <w:rsid w:val="00535117"/>
    <w:rsid w:val="0053515A"/>
    <w:rsid w:val="00535187"/>
    <w:rsid w:val="00535486"/>
    <w:rsid w:val="00536870"/>
    <w:rsid w:val="00537970"/>
    <w:rsid w:val="00540493"/>
    <w:rsid w:val="00540E7D"/>
    <w:rsid w:val="0054156E"/>
    <w:rsid w:val="00541A91"/>
    <w:rsid w:val="00541E2D"/>
    <w:rsid w:val="00541EB9"/>
    <w:rsid w:val="00542161"/>
    <w:rsid w:val="005427C9"/>
    <w:rsid w:val="00543141"/>
    <w:rsid w:val="005431A7"/>
    <w:rsid w:val="0054336C"/>
    <w:rsid w:val="00543604"/>
    <w:rsid w:val="00543F18"/>
    <w:rsid w:val="00544A89"/>
    <w:rsid w:val="00544CE4"/>
    <w:rsid w:val="00545643"/>
    <w:rsid w:val="00546949"/>
    <w:rsid w:val="00547AFB"/>
    <w:rsid w:val="00547C86"/>
    <w:rsid w:val="00550271"/>
    <w:rsid w:val="005504A5"/>
    <w:rsid w:val="00550574"/>
    <w:rsid w:val="00551963"/>
    <w:rsid w:val="00551C59"/>
    <w:rsid w:val="00552128"/>
    <w:rsid w:val="00554879"/>
    <w:rsid w:val="00555686"/>
    <w:rsid w:val="00555EAD"/>
    <w:rsid w:val="005562A3"/>
    <w:rsid w:val="00556645"/>
    <w:rsid w:val="00557220"/>
    <w:rsid w:val="00557A71"/>
    <w:rsid w:val="00560E56"/>
    <w:rsid w:val="0056111B"/>
    <w:rsid w:val="00563396"/>
    <w:rsid w:val="00564D7D"/>
    <w:rsid w:val="0056550F"/>
    <w:rsid w:val="00567844"/>
    <w:rsid w:val="0056788C"/>
    <w:rsid w:val="0057096E"/>
    <w:rsid w:val="00571768"/>
    <w:rsid w:val="0057187A"/>
    <w:rsid w:val="00571BA3"/>
    <w:rsid w:val="00571CC8"/>
    <w:rsid w:val="00571F4E"/>
    <w:rsid w:val="0057220A"/>
    <w:rsid w:val="0057234C"/>
    <w:rsid w:val="005732A9"/>
    <w:rsid w:val="00573E16"/>
    <w:rsid w:val="0057450A"/>
    <w:rsid w:val="0057499B"/>
    <w:rsid w:val="0057499C"/>
    <w:rsid w:val="00575AB1"/>
    <w:rsid w:val="00576977"/>
    <w:rsid w:val="00577E2B"/>
    <w:rsid w:val="0058005C"/>
    <w:rsid w:val="005808FA"/>
    <w:rsid w:val="00582377"/>
    <w:rsid w:val="00582695"/>
    <w:rsid w:val="00583451"/>
    <w:rsid w:val="0058384C"/>
    <w:rsid w:val="00583B5E"/>
    <w:rsid w:val="00583E0B"/>
    <w:rsid w:val="005844DF"/>
    <w:rsid w:val="0058493F"/>
    <w:rsid w:val="00584A67"/>
    <w:rsid w:val="00584B69"/>
    <w:rsid w:val="0058508F"/>
    <w:rsid w:val="005859B2"/>
    <w:rsid w:val="005876CF"/>
    <w:rsid w:val="00587BCF"/>
    <w:rsid w:val="00590CE3"/>
    <w:rsid w:val="00590ED7"/>
    <w:rsid w:val="0059143C"/>
    <w:rsid w:val="00591898"/>
    <w:rsid w:val="00592361"/>
    <w:rsid w:val="00593BDF"/>
    <w:rsid w:val="00595528"/>
    <w:rsid w:val="005961AC"/>
    <w:rsid w:val="00597910"/>
    <w:rsid w:val="005A01EC"/>
    <w:rsid w:val="005A0D98"/>
    <w:rsid w:val="005A0E68"/>
    <w:rsid w:val="005A132B"/>
    <w:rsid w:val="005A1C8E"/>
    <w:rsid w:val="005A223D"/>
    <w:rsid w:val="005A2785"/>
    <w:rsid w:val="005A2A0F"/>
    <w:rsid w:val="005A2D3A"/>
    <w:rsid w:val="005A42CE"/>
    <w:rsid w:val="005A5730"/>
    <w:rsid w:val="005A5DD2"/>
    <w:rsid w:val="005A5DFB"/>
    <w:rsid w:val="005A6A89"/>
    <w:rsid w:val="005A6CBF"/>
    <w:rsid w:val="005A752B"/>
    <w:rsid w:val="005B0353"/>
    <w:rsid w:val="005B0A65"/>
    <w:rsid w:val="005B0B86"/>
    <w:rsid w:val="005B0CBD"/>
    <w:rsid w:val="005B193D"/>
    <w:rsid w:val="005B238E"/>
    <w:rsid w:val="005B30FF"/>
    <w:rsid w:val="005B39FA"/>
    <w:rsid w:val="005B4302"/>
    <w:rsid w:val="005B4CF7"/>
    <w:rsid w:val="005B647C"/>
    <w:rsid w:val="005B6C1B"/>
    <w:rsid w:val="005B6C5F"/>
    <w:rsid w:val="005B6F26"/>
    <w:rsid w:val="005B799B"/>
    <w:rsid w:val="005B7D6A"/>
    <w:rsid w:val="005B7F96"/>
    <w:rsid w:val="005C0645"/>
    <w:rsid w:val="005C1444"/>
    <w:rsid w:val="005C3515"/>
    <w:rsid w:val="005C36D5"/>
    <w:rsid w:val="005C3725"/>
    <w:rsid w:val="005C43A3"/>
    <w:rsid w:val="005C615E"/>
    <w:rsid w:val="005C7162"/>
    <w:rsid w:val="005C7321"/>
    <w:rsid w:val="005C7388"/>
    <w:rsid w:val="005C7E5D"/>
    <w:rsid w:val="005D0397"/>
    <w:rsid w:val="005D05EB"/>
    <w:rsid w:val="005D1810"/>
    <w:rsid w:val="005D1C76"/>
    <w:rsid w:val="005D2296"/>
    <w:rsid w:val="005D3418"/>
    <w:rsid w:val="005D433A"/>
    <w:rsid w:val="005D4DBD"/>
    <w:rsid w:val="005D4EF7"/>
    <w:rsid w:val="005D67F4"/>
    <w:rsid w:val="005D7CEF"/>
    <w:rsid w:val="005E0BD0"/>
    <w:rsid w:val="005E12D8"/>
    <w:rsid w:val="005E1CC5"/>
    <w:rsid w:val="005E256F"/>
    <w:rsid w:val="005E334C"/>
    <w:rsid w:val="005E33A9"/>
    <w:rsid w:val="005E361B"/>
    <w:rsid w:val="005E3F50"/>
    <w:rsid w:val="005E461A"/>
    <w:rsid w:val="005E50D4"/>
    <w:rsid w:val="005E5A59"/>
    <w:rsid w:val="005E638A"/>
    <w:rsid w:val="005E6490"/>
    <w:rsid w:val="005E6E88"/>
    <w:rsid w:val="005F07EA"/>
    <w:rsid w:val="005F082C"/>
    <w:rsid w:val="005F11C8"/>
    <w:rsid w:val="005F1211"/>
    <w:rsid w:val="005F18C9"/>
    <w:rsid w:val="005F1B66"/>
    <w:rsid w:val="005F2DBD"/>
    <w:rsid w:val="005F3898"/>
    <w:rsid w:val="005F4662"/>
    <w:rsid w:val="005F4912"/>
    <w:rsid w:val="005F4A08"/>
    <w:rsid w:val="005F4AFB"/>
    <w:rsid w:val="005F4E90"/>
    <w:rsid w:val="005F5546"/>
    <w:rsid w:val="005F5F10"/>
    <w:rsid w:val="005F5F97"/>
    <w:rsid w:val="00600073"/>
    <w:rsid w:val="006002D7"/>
    <w:rsid w:val="00601271"/>
    <w:rsid w:val="006019CB"/>
    <w:rsid w:val="00602AF5"/>
    <w:rsid w:val="00602B08"/>
    <w:rsid w:val="0060554D"/>
    <w:rsid w:val="00605E64"/>
    <w:rsid w:val="00605FD9"/>
    <w:rsid w:val="00606688"/>
    <w:rsid w:val="006067A2"/>
    <w:rsid w:val="00606FF7"/>
    <w:rsid w:val="006072A6"/>
    <w:rsid w:val="0061046D"/>
    <w:rsid w:val="0061069B"/>
    <w:rsid w:val="0061366F"/>
    <w:rsid w:val="00613B19"/>
    <w:rsid w:val="006147FC"/>
    <w:rsid w:val="0061676B"/>
    <w:rsid w:val="00620212"/>
    <w:rsid w:val="00621474"/>
    <w:rsid w:val="00622524"/>
    <w:rsid w:val="0062320C"/>
    <w:rsid w:val="00624571"/>
    <w:rsid w:val="00625CF6"/>
    <w:rsid w:val="00626495"/>
    <w:rsid w:val="0062660E"/>
    <w:rsid w:val="00627670"/>
    <w:rsid w:val="00627B0D"/>
    <w:rsid w:val="00630412"/>
    <w:rsid w:val="00630BB2"/>
    <w:rsid w:val="0063106B"/>
    <w:rsid w:val="006310E5"/>
    <w:rsid w:val="00633E30"/>
    <w:rsid w:val="006346E5"/>
    <w:rsid w:val="00634B99"/>
    <w:rsid w:val="00635741"/>
    <w:rsid w:val="006361A6"/>
    <w:rsid w:val="00637FE3"/>
    <w:rsid w:val="00640EAD"/>
    <w:rsid w:val="006418C9"/>
    <w:rsid w:val="0064266C"/>
    <w:rsid w:val="006450DB"/>
    <w:rsid w:val="00645276"/>
    <w:rsid w:val="0064589D"/>
    <w:rsid w:val="00647061"/>
    <w:rsid w:val="00647067"/>
    <w:rsid w:val="0064707C"/>
    <w:rsid w:val="00647C37"/>
    <w:rsid w:val="00647F71"/>
    <w:rsid w:val="0065093F"/>
    <w:rsid w:val="00650D72"/>
    <w:rsid w:val="00652740"/>
    <w:rsid w:val="00652BB4"/>
    <w:rsid w:val="00652DE9"/>
    <w:rsid w:val="0065369C"/>
    <w:rsid w:val="00653A37"/>
    <w:rsid w:val="00654EA1"/>
    <w:rsid w:val="00655B26"/>
    <w:rsid w:val="00656CAA"/>
    <w:rsid w:val="006573B8"/>
    <w:rsid w:val="00660B29"/>
    <w:rsid w:val="00661551"/>
    <w:rsid w:val="0066157D"/>
    <w:rsid w:val="006617FE"/>
    <w:rsid w:val="006618DD"/>
    <w:rsid w:val="0066232B"/>
    <w:rsid w:val="00663D05"/>
    <w:rsid w:val="006656E8"/>
    <w:rsid w:val="006657C1"/>
    <w:rsid w:val="006661B2"/>
    <w:rsid w:val="006662EF"/>
    <w:rsid w:val="00670D75"/>
    <w:rsid w:val="00672434"/>
    <w:rsid w:val="006724C2"/>
    <w:rsid w:val="00672690"/>
    <w:rsid w:val="00672893"/>
    <w:rsid w:val="00672E8D"/>
    <w:rsid w:val="0067360C"/>
    <w:rsid w:val="00673879"/>
    <w:rsid w:val="00674D7D"/>
    <w:rsid w:val="00675C59"/>
    <w:rsid w:val="006761F4"/>
    <w:rsid w:val="00676A80"/>
    <w:rsid w:val="00676CE2"/>
    <w:rsid w:val="00677DF7"/>
    <w:rsid w:val="00680494"/>
    <w:rsid w:val="00681016"/>
    <w:rsid w:val="006816F3"/>
    <w:rsid w:val="006817C2"/>
    <w:rsid w:val="00681BCE"/>
    <w:rsid w:val="00681E5E"/>
    <w:rsid w:val="0068248D"/>
    <w:rsid w:val="006825A8"/>
    <w:rsid w:val="0068267E"/>
    <w:rsid w:val="00682EE6"/>
    <w:rsid w:val="006832DF"/>
    <w:rsid w:val="0068334C"/>
    <w:rsid w:val="006834FA"/>
    <w:rsid w:val="006847DB"/>
    <w:rsid w:val="00684C02"/>
    <w:rsid w:val="006853BA"/>
    <w:rsid w:val="0068544A"/>
    <w:rsid w:val="00686FFD"/>
    <w:rsid w:val="00690340"/>
    <w:rsid w:val="00690488"/>
    <w:rsid w:val="00690728"/>
    <w:rsid w:val="00691991"/>
    <w:rsid w:val="006927F9"/>
    <w:rsid w:val="00692D5B"/>
    <w:rsid w:val="006937AD"/>
    <w:rsid w:val="00693CB6"/>
    <w:rsid w:val="0069435A"/>
    <w:rsid w:val="00695020"/>
    <w:rsid w:val="00695233"/>
    <w:rsid w:val="00695568"/>
    <w:rsid w:val="006957AE"/>
    <w:rsid w:val="00695CE0"/>
    <w:rsid w:val="00696BD1"/>
    <w:rsid w:val="00696CB6"/>
    <w:rsid w:val="00697E74"/>
    <w:rsid w:val="006A1318"/>
    <w:rsid w:val="006A14A1"/>
    <w:rsid w:val="006A3D16"/>
    <w:rsid w:val="006A5453"/>
    <w:rsid w:val="006A5FA1"/>
    <w:rsid w:val="006A6400"/>
    <w:rsid w:val="006A67B5"/>
    <w:rsid w:val="006A7D40"/>
    <w:rsid w:val="006B023E"/>
    <w:rsid w:val="006B1C58"/>
    <w:rsid w:val="006B2E00"/>
    <w:rsid w:val="006B2F97"/>
    <w:rsid w:val="006B314C"/>
    <w:rsid w:val="006B3D97"/>
    <w:rsid w:val="006B3E3F"/>
    <w:rsid w:val="006B4137"/>
    <w:rsid w:val="006B4AFA"/>
    <w:rsid w:val="006B4C44"/>
    <w:rsid w:val="006B4F01"/>
    <w:rsid w:val="006B6B24"/>
    <w:rsid w:val="006B7C5E"/>
    <w:rsid w:val="006C11BD"/>
    <w:rsid w:val="006C30FD"/>
    <w:rsid w:val="006C3211"/>
    <w:rsid w:val="006C32A6"/>
    <w:rsid w:val="006C339D"/>
    <w:rsid w:val="006C39DB"/>
    <w:rsid w:val="006C3F2A"/>
    <w:rsid w:val="006C4137"/>
    <w:rsid w:val="006C42B7"/>
    <w:rsid w:val="006C549C"/>
    <w:rsid w:val="006C56A7"/>
    <w:rsid w:val="006C6553"/>
    <w:rsid w:val="006C720F"/>
    <w:rsid w:val="006C7994"/>
    <w:rsid w:val="006D13A3"/>
    <w:rsid w:val="006D2AAE"/>
    <w:rsid w:val="006D2C22"/>
    <w:rsid w:val="006D3194"/>
    <w:rsid w:val="006D5001"/>
    <w:rsid w:val="006D7942"/>
    <w:rsid w:val="006D7D11"/>
    <w:rsid w:val="006E0286"/>
    <w:rsid w:val="006E03CC"/>
    <w:rsid w:val="006E05D2"/>
    <w:rsid w:val="006E1961"/>
    <w:rsid w:val="006E1B42"/>
    <w:rsid w:val="006E23F3"/>
    <w:rsid w:val="006E2A7A"/>
    <w:rsid w:val="006E2D7E"/>
    <w:rsid w:val="006E3026"/>
    <w:rsid w:val="006E3240"/>
    <w:rsid w:val="006E4912"/>
    <w:rsid w:val="006E505A"/>
    <w:rsid w:val="006E53C5"/>
    <w:rsid w:val="006E61FF"/>
    <w:rsid w:val="006E6A8C"/>
    <w:rsid w:val="006E7897"/>
    <w:rsid w:val="006F0BDB"/>
    <w:rsid w:val="006F1020"/>
    <w:rsid w:val="006F139A"/>
    <w:rsid w:val="006F1634"/>
    <w:rsid w:val="006F1E69"/>
    <w:rsid w:val="006F2710"/>
    <w:rsid w:val="006F2749"/>
    <w:rsid w:val="006F2794"/>
    <w:rsid w:val="006F30DC"/>
    <w:rsid w:val="006F44A0"/>
    <w:rsid w:val="006F4CAC"/>
    <w:rsid w:val="006F6F99"/>
    <w:rsid w:val="006F73DC"/>
    <w:rsid w:val="006F7953"/>
    <w:rsid w:val="006F7A99"/>
    <w:rsid w:val="006F7FD4"/>
    <w:rsid w:val="00700BB4"/>
    <w:rsid w:val="00701456"/>
    <w:rsid w:val="0070254D"/>
    <w:rsid w:val="00703621"/>
    <w:rsid w:val="0070482D"/>
    <w:rsid w:val="00704C24"/>
    <w:rsid w:val="00706059"/>
    <w:rsid w:val="00706F7F"/>
    <w:rsid w:val="00707A6E"/>
    <w:rsid w:val="00710461"/>
    <w:rsid w:val="00712548"/>
    <w:rsid w:val="00712806"/>
    <w:rsid w:val="00712A3E"/>
    <w:rsid w:val="0071419C"/>
    <w:rsid w:val="00715015"/>
    <w:rsid w:val="007152CE"/>
    <w:rsid w:val="007153FF"/>
    <w:rsid w:val="00715A18"/>
    <w:rsid w:val="007165F2"/>
    <w:rsid w:val="00716C6D"/>
    <w:rsid w:val="00720B19"/>
    <w:rsid w:val="007210DD"/>
    <w:rsid w:val="00721256"/>
    <w:rsid w:val="00721339"/>
    <w:rsid w:val="00721567"/>
    <w:rsid w:val="00721B8A"/>
    <w:rsid w:val="00721F73"/>
    <w:rsid w:val="00723A76"/>
    <w:rsid w:val="00723B32"/>
    <w:rsid w:val="00724164"/>
    <w:rsid w:val="00724237"/>
    <w:rsid w:val="00724387"/>
    <w:rsid w:val="00724599"/>
    <w:rsid w:val="00725549"/>
    <w:rsid w:val="00725AF4"/>
    <w:rsid w:val="00725F40"/>
    <w:rsid w:val="00726260"/>
    <w:rsid w:val="00726AB3"/>
    <w:rsid w:val="007278C1"/>
    <w:rsid w:val="007308A3"/>
    <w:rsid w:val="00730AFF"/>
    <w:rsid w:val="007314EA"/>
    <w:rsid w:val="00731810"/>
    <w:rsid w:val="00731BDE"/>
    <w:rsid w:val="00731D40"/>
    <w:rsid w:val="00732AA8"/>
    <w:rsid w:val="00734B97"/>
    <w:rsid w:val="00734ED4"/>
    <w:rsid w:val="007359EC"/>
    <w:rsid w:val="0073621E"/>
    <w:rsid w:val="00737956"/>
    <w:rsid w:val="00737B34"/>
    <w:rsid w:val="0074146E"/>
    <w:rsid w:val="00741E25"/>
    <w:rsid w:val="007422FD"/>
    <w:rsid w:val="007435D2"/>
    <w:rsid w:val="00745086"/>
    <w:rsid w:val="00745474"/>
    <w:rsid w:val="007456C5"/>
    <w:rsid w:val="00745CE2"/>
    <w:rsid w:val="00745E0B"/>
    <w:rsid w:val="007461E5"/>
    <w:rsid w:val="0074744A"/>
    <w:rsid w:val="0074775B"/>
    <w:rsid w:val="00747B7E"/>
    <w:rsid w:val="00750238"/>
    <w:rsid w:val="00750FEA"/>
    <w:rsid w:val="00751D8B"/>
    <w:rsid w:val="00754980"/>
    <w:rsid w:val="007559C2"/>
    <w:rsid w:val="0075676A"/>
    <w:rsid w:val="00756F69"/>
    <w:rsid w:val="00757160"/>
    <w:rsid w:val="00757ED4"/>
    <w:rsid w:val="00760128"/>
    <w:rsid w:val="007609CB"/>
    <w:rsid w:val="00761BF9"/>
    <w:rsid w:val="007622EE"/>
    <w:rsid w:val="007638D9"/>
    <w:rsid w:val="0076493A"/>
    <w:rsid w:val="00766E66"/>
    <w:rsid w:val="007672D3"/>
    <w:rsid w:val="00767AD9"/>
    <w:rsid w:val="007710F3"/>
    <w:rsid w:val="0077213C"/>
    <w:rsid w:val="007730A6"/>
    <w:rsid w:val="0077383B"/>
    <w:rsid w:val="00773CBA"/>
    <w:rsid w:val="007753AE"/>
    <w:rsid w:val="00775A64"/>
    <w:rsid w:val="00775DE0"/>
    <w:rsid w:val="007767BA"/>
    <w:rsid w:val="00776F26"/>
    <w:rsid w:val="0077792C"/>
    <w:rsid w:val="007779BD"/>
    <w:rsid w:val="007806F0"/>
    <w:rsid w:val="00780BB3"/>
    <w:rsid w:val="007814C4"/>
    <w:rsid w:val="00781DA5"/>
    <w:rsid w:val="00782676"/>
    <w:rsid w:val="007829E3"/>
    <w:rsid w:val="00782AD5"/>
    <w:rsid w:val="00782BE5"/>
    <w:rsid w:val="007832DC"/>
    <w:rsid w:val="00783854"/>
    <w:rsid w:val="00783C1E"/>
    <w:rsid w:val="00784E56"/>
    <w:rsid w:val="00785222"/>
    <w:rsid w:val="00785332"/>
    <w:rsid w:val="00786023"/>
    <w:rsid w:val="0078628B"/>
    <w:rsid w:val="00786788"/>
    <w:rsid w:val="00787905"/>
    <w:rsid w:val="00787B6F"/>
    <w:rsid w:val="00787BF8"/>
    <w:rsid w:val="00790122"/>
    <w:rsid w:val="007943EB"/>
    <w:rsid w:val="00794CB1"/>
    <w:rsid w:val="007953E1"/>
    <w:rsid w:val="0079599A"/>
    <w:rsid w:val="00795D10"/>
    <w:rsid w:val="00795E84"/>
    <w:rsid w:val="007964AF"/>
    <w:rsid w:val="007965C1"/>
    <w:rsid w:val="00796CE5"/>
    <w:rsid w:val="00796D8B"/>
    <w:rsid w:val="007972D9"/>
    <w:rsid w:val="007A0040"/>
    <w:rsid w:val="007A1119"/>
    <w:rsid w:val="007A230D"/>
    <w:rsid w:val="007A2EBD"/>
    <w:rsid w:val="007A38C3"/>
    <w:rsid w:val="007A38E5"/>
    <w:rsid w:val="007A3EED"/>
    <w:rsid w:val="007A4E86"/>
    <w:rsid w:val="007A5322"/>
    <w:rsid w:val="007A543E"/>
    <w:rsid w:val="007A5688"/>
    <w:rsid w:val="007A6241"/>
    <w:rsid w:val="007A6871"/>
    <w:rsid w:val="007A700C"/>
    <w:rsid w:val="007A748B"/>
    <w:rsid w:val="007A7661"/>
    <w:rsid w:val="007A79C2"/>
    <w:rsid w:val="007B0413"/>
    <w:rsid w:val="007B09C0"/>
    <w:rsid w:val="007B13C5"/>
    <w:rsid w:val="007B1575"/>
    <w:rsid w:val="007B1594"/>
    <w:rsid w:val="007B188F"/>
    <w:rsid w:val="007B2289"/>
    <w:rsid w:val="007B2B2B"/>
    <w:rsid w:val="007B3493"/>
    <w:rsid w:val="007B3621"/>
    <w:rsid w:val="007B3A86"/>
    <w:rsid w:val="007B3D0F"/>
    <w:rsid w:val="007B541A"/>
    <w:rsid w:val="007B6EE1"/>
    <w:rsid w:val="007B7824"/>
    <w:rsid w:val="007C08ED"/>
    <w:rsid w:val="007C12F7"/>
    <w:rsid w:val="007C173F"/>
    <w:rsid w:val="007C183B"/>
    <w:rsid w:val="007C2387"/>
    <w:rsid w:val="007C2FD8"/>
    <w:rsid w:val="007C325F"/>
    <w:rsid w:val="007C3794"/>
    <w:rsid w:val="007C3A12"/>
    <w:rsid w:val="007C466C"/>
    <w:rsid w:val="007C525F"/>
    <w:rsid w:val="007C5D52"/>
    <w:rsid w:val="007C638F"/>
    <w:rsid w:val="007C63E8"/>
    <w:rsid w:val="007C6A0A"/>
    <w:rsid w:val="007C73D8"/>
    <w:rsid w:val="007C73E1"/>
    <w:rsid w:val="007C7F00"/>
    <w:rsid w:val="007D0AA0"/>
    <w:rsid w:val="007D1519"/>
    <w:rsid w:val="007D1A06"/>
    <w:rsid w:val="007D1BBD"/>
    <w:rsid w:val="007D2020"/>
    <w:rsid w:val="007D430D"/>
    <w:rsid w:val="007D43BD"/>
    <w:rsid w:val="007D5929"/>
    <w:rsid w:val="007D5DA0"/>
    <w:rsid w:val="007D62CB"/>
    <w:rsid w:val="007D7A32"/>
    <w:rsid w:val="007D7B00"/>
    <w:rsid w:val="007E0EDE"/>
    <w:rsid w:val="007E124E"/>
    <w:rsid w:val="007E16DE"/>
    <w:rsid w:val="007E3B8A"/>
    <w:rsid w:val="007E3D79"/>
    <w:rsid w:val="007E5579"/>
    <w:rsid w:val="007E6538"/>
    <w:rsid w:val="007E6D97"/>
    <w:rsid w:val="007E6F70"/>
    <w:rsid w:val="007E7C0E"/>
    <w:rsid w:val="007E7E00"/>
    <w:rsid w:val="007F07C9"/>
    <w:rsid w:val="007F2041"/>
    <w:rsid w:val="007F20B6"/>
    <w:rsid w:val="007F2910"/>
    <w:rsid w:val="007F4A24"/>
    <w:rsid w:val="007F5246"/>
    <w:rsid w:val="007F586A"/>
    <w:rsid w:val="007F63BA"/>
    <w:rsid w:val="007F774F"/>
    <w:rsid w:val="0080149A"/>
    <w:rsid w:val="00802189"/>
    <w:rsid w:val="0080275C"/>
    <w:rsid w:val="00802876"/>
    <w:rsid w:val="00802FA5"/>
    <w:rsid w:val="0080305C"/>
    <w:rsid w:val="008032A1"/>
    <w:rsid w:val="00803578"/>
    <w:rsid w:val="0080358B"/>
    <w:rsid w:val="00804739"/>
    <w:rsid w:val="00805069"/>
    <w:rsid w:val="008062BA"/>
    <w:rsid w:val="0080648B"/>
    <w:rsid w:val="008068B6"/>
    <w:rsid w:val="00806E74"/>
    <w:rsid w:val="00807316"/>
    <w:rsid w:val="008079DC"/>
    <w:rsid w:val="008106F3"/>
    <w:rsid w:val="00810839"/>
    <w:rsid w:val="00810D2F"/>
    <w:rsid w:val="00811464"/>
    <w:rsid w:val="008116F6"/>
    <w:rsid w:val="00811C28"/>
    <w:rsid w:val="00812285"/>
    <w:rsid w:val="0081278F"/>
    <w:rsid w:val="00813365"/>
    <w:rsid w:val="008148CB"/>
    <w:rsid w:val="008149EB"/>
    <w:rsid w:val="00814DCD"/>
    <w:rsid w:val="00814EF9"/>
    <w:rsid w:val="0081590D"/>
    <w:rsid w:val="00815D26"/>
    <w:rsid w:val="00816F7C"/>
    <w:rsid w:val="00821DA1"/>
    <w:rsid w:val="008220A6"/>
    <w:rsid w:val="00822139"/>
    <w:rsid w:val="00822DC1"/>
    <w:rsid w:val="0082341B"/>
    <w:rsid w:val="00823572"/>
    <w:rsid w:val="00824479"/>
    <w:rsid w:val="00827C2B"/>
    <w:rsid w:val="0083028C"/>
    <w:rsid w:val="00830ED1"/>
    <w:rsid w:val="00831443"/>
    <w:rsid w:val="00831EBF"/>
    <w:rsid w:val="00832196"/>
    <w:rsid w:val="00833451"/>
    <w:rsid w:val="008334A2"/>
    <w:rsid w:val="00833548"/>
    <w:rsid w:val="008336F2"/>
    <w:rsid w:val="00833F65"/>
    <w:rsid w:val="00834ACB"/>
    <w:rsid w:val="008354A7"/>
    <w:rsid w:val="008366E3"/>
    <w:rsid w:val="00836B3C"/>
    <w:rsid w:val="008372EE"/>
    <w:rsid w:val="0083753F"/>
    <w:rsid w:val="008430E3"/>
    <w:rsid w:val="00844CB9"/>
    <w:rsid w:val="00845F33"/>
    <w:rsid w:val="008465A1"/>
    <w:rsid w:val="00846653"/>
    <w:rsid w:val="00846CA7"/>
    <w:rsid w:val="00847DBA"/>
    <w:rsid w:val="00850781"/>
    <w:rsid w:val="00851698"/>
    <w:rsid w:val="00851EAF"/>
    <w:rsid w:val="008522A6"/>
    <w:rsid w:val="008529B3"/>
    <w:rsid w:val="0085352D"/>
    <w:rsid w:val="008540B1"/>
    <w:rsid w:val="008542EF"/>
    <w:rsid w:val="00854C8D"/>
    <w:rsid w:val="00855236"/>
    <w:rsid w:val="00855AB2"/>
    <w:rsid w:val="00855C34"/>
    <w:rsid w:val="008566CD"/>
    <w:rsid w:val="008567D5"/>
    <w:rsid w:val="00856CE8"/>
    <w:rsid w:val="00857073"/>
    <w:rsid w:val="00857B8C"/>
    <w:rsid w:val="00860000"/>
    <w:rsid w:val="00860C8E"/>
    <w:rsid w:val="00861B80"/>
    <w:rsid w:val="00862F5F"/>
    <w:rsid w:val="008647AB"/>
    <w:rsid w:val="0086499C"/>
    <w:rsid w:val="00865669"/>
    <w:rsid w:val="00865904"/>
    <w:rsid w:val="008668D2"/>
    <w:rsid w:val="0087217E"/>
    <w:rsid w:val="0087265B"/>
    <w:rsid w:val="00872BDF"/>
    <w:rsid w:val="00873E04"/>
    <w:rsid w:val="0087456E"/>
    <w:rsid w:val="008745F1"/>
    <w:rsid w:val="00874618"/>
    <w:rsid w:val="00876094"/>
    <w:rsid w:val="008768A4"/>
    <w:rsid w:val="00876F9A"/>
    <w:rsid w:val="008772CB"/>
    <w:rsid w:val="00877950"/>
    <w:rsid w:val="008801D3"/>
    <w:rsid w:val="008808CC"/>
    <w:rsid w:val="0088144F"/>
    <w:rsid w:val="008814B8"/>
    <w:rsid w:val="008827F9"/>
    <w:rsid w:val="00883A12"/>
    <w:rsid w:val="00884BB4"/>
    <w:rsid w:val="00884F1B"/>
    <w:rsid w:val="00885086"/>
    <w:rsid w:val="00886870"/>
    <w:rsid w:val="008868D7"/>
    <w:rsid w:val="008868DD"/>
    <w:rsid w:val="00886D71"/>
    <w:rsid w:val="00886F06"/>
    <w:rsid w:val="00887D49"/>
    <w:rsid w:val="00890672"/>
    <w:rsid w:val="00890AEF"/>
    <w:rsid w:val="00890DF7"/>
    <w:rsid w:val="00891C93"/>
    <w:rsid w:val="008936B0"/>
    <w:rsid w:val="00894A58"/>
    <w:rsid w:val="008971B7"/>
    <w:rsid w:val="00897385"/>
    <w:rsid w:val="008A0638"/>
    <w:rsid w:val="008A06C3"/>
    <w:rsid w:val="008A2B53"/>
    <w:rsid w:val="008A2FCA"/>
    <w:rsid w:val="008A3302"/>
    <w:rsid w:val="008A354A"/>
    <w:rsid w:val="008A3959"/>
    <w:rsid w:val="008A4886"/>
    <w:rsid w:val="008A4BE9"/>
    <w:rsid w:val="008A4CBE"/>
    <w:rsid w:val="008A5976"/>
    <w:rsid w:val="008A5B93"/>
    <w:rsid w:val="008A5EB0"/>
    <w:rsid w:val="008A6950"/>
    <w:rsid w:val="008A79C2"/>
    <w:rsid w:val="008B090B"/>
    <w:rsid w:val="008B0F53"/>
    <w:rsid w:val="008B10C0"/>
    <w:rsid w:val="008B5592"/>
    <w:rsid w:val="008B57AA"/>
    <w:rsid w:val="008B5AE6"/>
    <w:rsid w:val="008B60AD"/>
    <w:rsid w:val="008B693E"/>
    <w:rsid w:val="008B6B43"/>
    <w:rsid w:val="008B705B"/>
    <w:rsid w:val="008B7257"/>
    <w:rsid w:val="008B75F1"/>
    <w:rsid w:val="008C017F"/>
    <w:rsid w:val="008C07DF"/>
    <w:rsid w:val="008C0921"/>
    <w:rsid w:val="008C1C7C"/>
    <w:rsid w:val="008C221F"/>
    <w:rsid w:val="008C3E4E"/>
    <w:rsid w:val="008C4327"/>
    <w:rsid w:val="008C4C14"/>
    <w:rsid w:val="008C58CA"/>
    <w:rsid w:val="008C5B5D"/>
    <w:rsid w:val="008C62B7"/>
    <w:rsid w:val="008C66B3"/>
    <w:rsid w:val="008C6A18"/>
    <w:rsid w:val="008C6A87"/>
    <w:rsid w:val="008C6EEC"/>
    <w:rsid w:val="008C7167"/>
    <w:rsid w:val="008C7EF2"/>
    <w:rsid w:val="008D0F98"/>
    <w:rsid w:val="008D1883"/>
    <w:rsid w:val="008D267A"/>
    <w:rsid w:val="008D2CE8"/>
    <w:rsid w:val="008D3015"/>
    <w:rsid w:val="008D355F"/>
    <w:rsid w:val="008D463F"/>
    <w:rsid w:val="008D4BEC"/>
    <w:rsid w:val="008D4F88"/>
    <w:rsid w:val="008D56D2"/>
    <w:rsid w:val="008D5FFF"/>
    <w:rsid w:val="008D6527"/>
    <w:rsid w:val="008D7688"/>
    <w:rsid w:val="008D7CD7"/>
    <w:rsid w:val="008E055E"/>
    <w:rsid w:val="008E103E"/>
    <w:rsid w:val="008E28FC"/>
    <w:rsid w:val="008E29E2"/>
    <w:rsid w:val="008E3A8A"/>
    <w:rsid w:val="008E4DA9"/>
    <w:rsid w:val="008E4DAF"/>
    <w:rsid w:val="008E4E75"/>
    <w:rsid w:val="008E5515"/>
    <w:rsid w:val="008E5AFC"/>
    <w:rsid w:val="008E6141"/>
    <w:rsid w:val="008E6155"/>
    <w:rsid w:val="008E7800"/>
    <w:rsid w:val="008F0190"/>
    <w:rsid w:val="008F01EF"/>
    <w:rsid w:val="008F0213"/>
    <w:rsid w:val="008F0A43"/>
    <w:rsid w:val="008F0B25"/>
    <w:rsid w:val="008F30CF"/>
    <w:rsid w:val="008F3F8C"/>
    <w:rsid w:val="008F5900"/>
    <w:rsid w:val="008F5A30"/>
    <w:rsid w:val="008F6018"/>
    <w:rsid w:val="008F68FF"/>
    <w:rsid w:val="008F6F36"/>
    <w:rsid w:val="008F7080"/>
    <w:rsid w:val="009000A3"/>
    <w:rsid w:val="009000C5"/>
    <w:rsid w:val="009000E6"/>
    <w:rsid w:val="0090141C"/>
    <w:rsid w:val="0090178F"/>
    <w:rsid w:val="009019E7"/>
    <w:rsid w:val="00901BB1"/>
    <w:rsid w:val="00903A9C"/>
    <w:rsid w:val="0090405C"/>
    <w:rsid w:val="00904276"/>
    <w:rsid w:val="009044D2"/>
    <w:rsid w:val="00904E47"/>
    <w:rsid w:val="00905422"/>
    <w:rsid w:val="00905853"/>
    <w:rsid w:val="00906795"/>
    <w:rsid w:val="00906CA3"/>
    <w:rsid w:val="009071EA"/>
    <w:rsid w:val="00910152"/>
    <w:rsid w:val="0091064B"/>
    <w:rsid w:val="009107DC"/>
    <w:rsid w:val="0091104C"/>
    <w:rsid w:val="009113EF"/>
    <w:rsid w:val="009122FE"/>
    <w:rsid w:val="009126BF"/>
    <w:rsid w:val="00912B3B"/>
    <w:rsid w:val="00912BAB"/>
    <w:rsid w:val="00914240"/>
    <w:rsid w:val="00914775"/>
    <w:rsid w:val="00914E4B"/>
    <w:rsid w:val="00915DE3"/>
    <w:rsid w:val="00916A2F"/>
    <w:rsid w:val="00916BDF"/>
    <w:rsid w:val="00920678"/>
    <w:rsid w:val="00920CAB"/>
    <w:rsid w:val="00920CC5"/>
    <w:rsid w:val="0092107B"/>
    <w:rsid w:val="00921345"/>
    <w:rsid w:val="00921862"/>
    <w:rsid w:val="00921C40"/>
    <w:rsid w:val="0092223F"/>
    <w:rsid w:val="00922AFD"/>
    <w:rsid w:val="00924963"/>
    <w:rsid w:val="00930E1C"/>
    <w:rsid w:val="00931BD0"/>
    <w:rsid w:val="00932059"/>
    <w:rsid w:val="009326D8"/>
    <w:rsid w:val="00932C70"/>
    <w:rsid w:val="00933C5A"/>
    <w:rsid w:val="00933FBD"/>
    <w:rsid w:val="00934BD6"/>
    <w:rsid w:val="00934E19"/>
    <w:rsid w:val="00935C5C"/>
    <w:rsid w:val="009419F2"/>
    <w:rsid w:val="00941FAC"/>
    <w:rsid w:val="0094277D"/>
    <w:rsid w:val="00943203"/>
    <w:rsid w:val="00943601"/>
    <w:rsid w:val="00945A70"/>
    <w:rsid w:val="009463CA"/>
    <w:rsid w:val="009470EC"/>
    <w:rsid w:val="0094779A"/>
    <w:rsid w:val="0094786B"/>
    <w:rsid w:val="00947968"/>
    <w:rsid w:val="00947D9A"/>
    <w:rsid w:val="00950872"/>
    <w:rsid w:val="00950BE1"/>
    <w:rsid w:val="00951986"/>
    <w:rsid w:val="00951E85"/>
    <w:rsid w:val="00952AB0"/>
    <w:rsid w:val="00952C23"/>
    <w:rsid w:val="00953D0C"/>
    <w:rsid w:val="00955611"/>
    <w:rsid w:val="0095697A"/>
    <w:rsid w:val="00956EBA"/>
    <w:rsid w:val="009575E7"/>
    <w:rsid w:val="00957CA0"/>
    <w:rsid w:val="00960A02"/>
    <w:rsid w:val="00961AAF"/>
    <w:rsid w:val="00962AAB"/>
    <w:rsid w:val="00963131"/>
    <w:rsid w:val="009631A2"/>
    <w:rsid w:val="00963F8C"/>
    <w:rsid w:val="009643B1"/>
    <w:rsid w:val="009651D4"/>
    <w:rsid w:val="00965330"/>
    <w:rsid w:val="00965503"/>
    <w:rsid w:val="00965617"/>
    <w:rsid w:val="009658CB"/>
    <w:rsid w:val="00966010"/>
    <w:rsid w:val="009665C7"/>
    <w:rsid w:val="0096670A"/>
    <w:rsid w:val="00966F76"/>
    <w:rsid w:val="00967D82"/>
    <w:rsid w:val="00967EC0"/>
    <w:rsid w:val="00970096"/>
    <w:rsid w:val="00970581"/>
    <w:rsid w:val="00971473"/>
    <w:rsid w:val="00971545"/>
    <w:rsid w:val="0097222C"/>
    <w:rsid w:val="00972E33"/>
    <w:rsid w:val="009733F8"/>
    <w:rsid w:val="009737A0"/>
    <w:rsid w:val="00973948"/>
    <w:rsid w:val="00974965"/>
    <w:rsid w:val="00974CE0"/>
    <w:rsid w:val="00975C2A"/>
    <w:rsid w:val="0098086A"/>
    <w:rsid w:val="00980B39"/>
    <w:rsid w:val="00982C08"/>
    <w:rsid w:val="009837F7"/>
    <w:rsid w:val="009853B6"/>
    <w:rsid w:val="00986D0F"/>
    <w:rsid w:val="00987B17"/>
    <w:rsid w:val="009900FB"/>
    <w:rsid w:val="00993213"/>
    <w:rsid w:val="00993ADC"/>
    <w:rsid w:val="009945FA"/>
    <w:rsid w:val="00995031"/>
    <w:rsid w:val="009951A2"/>
    <w:rsid w:val="009968E5"/>
    <w:rsid w:val="00996E13"/>
    <w:rsid w:val="009A0202"/>
    <w:rsid w:val="009A0649"/>
    <w:rsid w:val="009A0DC4"/>
    <w:rsid w:val="009A10C3"/>
    <w:rsid w:val="009A1B8F"/>
    <w:rsid w:val="009A2452"/>
    <w:rsid w:val="009A2643"/>
    <w:rsid w:val="009A3581"/>
    <w:rsid w:val="009A3CB9"/>
    <w:rsid w:val="009A474B"/>
    <w:rsid w:val="009A589E"/>
    <w:rsid w:val="009A66CE"/>
    <w:rsid w:val="009A6847"/>
    <w:rsid w:val="009A6C9F"/>
    <w:rsid w:val="009A6E39"/>
    <w:rsid w:val="009A71ED"/>
    <w:rsid w:val="009A74CE"/>
    <w:rsid w:val="009A7A37"/>
    <w:rsid w:val="009A7FE9"/>
    <w:rsid w:val="009B04FE"/>
    <w:rsid w:val="009B18B2"/>
    <w:rsid w:val="009B2129"/>
    <w:rsid w:val="009B37CD"/>
    <w:rsid w:val="009B3CEE"/>
    <w:rsid w:val="009B3F79"/>
    <w:rsid w:val="009B50B0"/>
    <w:rsid w:val="009B542E"/>
    <w:rsid w:val="009B547C"/>
    <w:rsid w:val="009B5845"/>
    <w:rsid w:val="009B5916"/>
    <w:rsid w:val="009B64AA"/>
    <w:rsid w:val="009B6511"/>
    <w:rsid w:val="009B7613"/>
    <w:rsid w:val="009B779C"/>
    <w:rsid w:val="009C017E"/>
    <w:rsid w:val="009C1777"/>
    <w:rsid w:val="009C1FD2"/>
    <w:rsid w:val="009C2392"/>
    <w:rsid w:val="009C2620"/>
    <w:rsid w:val="009C360B"/>
    <w:rsid w:val="009C379C"/>
    <w:rsid w:val="009C4E17"/>
    <w:rsid w:val="009C59D8"/>
    <w:rsid w:val="009C5DDE"/>
    <w:rsid w:val="009C67CE"/>
    <w:rsid w:val="009C75DB"/>
    <w:rsid w:val="009D0800"/>
    <w:rsid w:val="009D0E4C"/>
    <w:rsid w:val="009D11C2"/>
    <w:rsid w:val="009D1AD6"/>
    <w:rsid w:val="009D214F"/>
    <w:rsid w:val="009D563D"/>
    <w:rsid w:val="009D59B3"/>
    <w:rsid w:val="009D6100"/>
    <w:rsid w:val="009D680D"/>
    <w:rsid w:val="009D702E"/>
    <w:rsid w:val="009E04D0"/>
    <w:rsid w:val="009E05F8"/>
    <w:rsid w:val="009E0697"/>
    <w:rsid w:val="009E0D70"/>
    <w:rsid w:val="009E1350"/>
    <w:rsid w:val="009E1601"/>
    <w:rsid w:val="009E1C41"/>
    <w:rsid w:val="009E34CF"/>
    <w:rsid w:val="009E3DF0"/>
    <w:rsid w:val="009E410E"/>
    <w:rsid w:val="009E4214"/>
    <w:rsid w:val="009E494A"/>
    <w:rsid w:val="009E49C6"/>
    <w:rsid w:val="009E5046"/>
    <w:rsid w:val="009E515B"/>
    <w:rsid w:val="009E522E"/>
    <w:rsid w:val="009E5E12"/>
    <w:rsid w:val="009E60C4"/>
    <w:rsid w:val="009E70DE"/>
    <w:rsid w:val="009F0B84"/>
    <w:rsid w:val="009F3F09"/>
    <w:rsid w:val="009F44EF"/>
    <w:rsid w:val="009F5B3A"/>
    <w:rsid w:val="009F5C28"/>
    <w:rsid w:val="009F5D3B"/>
    <w:rsid w:val="009F612F"/>
    <w:rsid w:val="009F65FD"/>
    <w:rsid w:val="009F67D7"/>
    <w:rsid w:val="009F790B"/>
    <w:rsid w:val="00A00EC2"/>
    <w:rsid w:val="00A018F1"/>
    <w:rsid w:val="00A01EF1"/>
    <w:rsid w:val="00A02663"/>
    <w:rsid w:val="00A02883"/>
    <w:rsid w:val="00A02A94"/>
    <w:rsid w:val="00A02B1A"/>
    <w:rsid w:val="00A03100"/>
    <w:rsid w:val="00A03864"/>
    <w:rsid w:val="00A04212"/>
    <w:rsid w:val="00A0441D"/>
    <w:rsid w:val="00A05013"/>
    <w:rsid w:val="00A055E1"/>
    <w:rsid w:val="00A05DE3"/>
    <w:rsid w:val="00A06742"/>
    <w:rsid w:val="00A10B6D"/>
    <w:rsid w:val="00A126C7"/>
    <w:rsid w:val="00A13933"/>
    <w:rsid w:val="00A152DF"/>
    <w:rsid w:val="00A15DD5"/>
    <w:rsid w:val="00A15F6E"/>
    <w:rsid w:val="00A1601D"/>
    <w:rsid w:val="00A1621F"/>
    <w:rsid w:val="00A17133"/>
    <w:rsid w:val="00A172C1"/>
    <w:rsid w:val="00A174FE"/>
    <w:rsid w:val="00A175E4"/>
    <w:rsid w:val="00A176BF"/>
    <w:rsid w:val="00A17AD4"/>
    <w:rsid w:val="00A17D5B"/>
    <w:rsid w:val="00A202DA"/>
    <w:rsid w:val="00A216DD"/>
    <w:rsid w:val="00A2254E"/>
    <w:rsid w:val="00A2386D"/>
    <w:rsid w:val="00A23B32"/>
    <w:rsid w:val="00A250D4"/>
    <w:rsid w:val="00A251FB"/>
    <w:rsid w:val="00A27223"/>
    <w:rsid w:val="00A2724E"/>
    <w:rsid w:val="00A2758E"/>
    <w:rsid w:val="00A27635"/>
    <w:rsid w:val="00A27F5D"/>
    <w:rsid w:val="00A30FDC"/>
    <w:rsid w:val="00A30FEC"/>
    <w:rsid w:val="00A3196F"/>
    <w:rsid w:val="00A323A5"/>
    <w:rsid w:val="00A32E7A"/>
    <w:rsid w:val="00A338AD"/>
    <w:rsid w:val="00A35673"/>
    <w:rsid w:val="00A35CE0"/>
    <w:rsid w:val="00A3608C"/>
    <w:rsid w:val="00A3682A"/>
    <w:rsid w:val="00A370F7"/>
    <w:rsid w:val="00A41445"/>
    <w:rsid w:val="00A41524"/>
    <w:rsid w:val="00A4267F"/>
    <w:rsid w:val="00A426A0"/>
    <w:rsid w:val="00A43020"/>
    <w:rsid w:val="00A43797"/>
    <w:rsid w:val="00A43F2E"/>
    <w:rsid w:val="00A44599"/>
    <w:rsid w:val="00A44E14"/>
    <w:rsid w:val="00A44F3B"/>
    <w:rsid w:val="00A4539C"/>
    <w:rsid w:val="00A455D4"/>
    <w:rsid w:val="00A45A0E"/>
    <w:rsid w:val="00A45F1A"/>
    <w:rsid w:val="00A46B09"/>
    <w:rsid w:val="00A476A1"/>
    <w:rsid w:val="00A47E50"/>
    <w:rsid w:val="00A50598"/>
    <w:rsid w:val="00A50913"/>
    <w:rsid w:val="00A50A2C"/>
    <w:rsid w:val="00A51438"/>
    <w:rsid w:val="00A51F94"/>
    <w:rsid w:val="00A52F45"/>
    <w:rsid w:val="00A53784"/>
    <w:rsid w:val="00A560F6"/>
    <w:rsid w:val="00A56600"/>
    <w:rsid w:val="00A57DD7"/>
    <w:rsid w:val="00A6027B"/>
    <w:rsid w:val="00A60B00"/>
    <w:rsid w:val="00A60C56"/>
    <w:rsid w:val="00A60FAF"/>
    <w:rsid w:val="00A61339"/>
    <w:rsid w:val="00A614A6"/>
    <w:rsid w:val="00A615A4"/>
    <w:rsid w:val="00A622E6"/>
    <w:rsid w:val="00A6231C"/>
    <w:rsid w:val="00A623D0"/>
    <w:rsid w:val="00A625E9"/>
    <w:rsid w:val="00A631FA"/>
    <w:rsid w:val="00A6397C"/>
    <w:rsid w:val="00A6505E"/>
    <w:rsid w:val="00A65379"/>
    <w:rsid w:val="00A65BC4"/>
    <w:rsid w:val="00A67452"/>
    <w:rsid w:val="00A70351"/>
    <w:rsid w:val="00A705D4"/>
    <w:rsid w:val="00A70738"/>
    <w:rsid w:val="00A70773"/>
    <w:rsid w:val="00A71A2F"/>
    <w:rsid w:val="00A7302E"/>
    <w:rsid w:val="00A731D0"/>
    <w:rsid w:val="00A73EBF"/>
    <w:rsid w:val="00A74625"/>
    <w:rsid w:val="00A748C0"/>
    <w:rsid w:val="00A74CD3"/>
    <w:rsid w:val="00A75E18"/>
    <w:rsid w:val="00A76AB5"/>
    <w:rsid w:val="00A77E03"/>
    <w:rsid w:val="00A8097C"/>
    <w:rsid w:val="00A80AAB"/>
    <w:rsid w:val="00A81B83"/>
    <w:rsid w:val="00A82802"/>
    <w:rsid w:val="00A82E93"/>
    <w:rsid w:val="00A840E9"/>
    <w:rsid w:val="00A84E10"/>
    <w:rsid w:val="00A8588D"/>
    <w:rsid w:val="00A85917"/>
    <w:rsid w:val="00A85F9E"/>
    <w:rsid w:val="00A8685F"/>
    <w:rsid w:val="00A8741C"/>
    <w:rsid w:val="00A87562"/>
    <w:rsid w:val="00A87D7B"/>
    <w:rsid w:val="00A90804"/>
    <w:rsid w:val="00A90910"/>
    <w:rsid w:val="00A92FF5"/>
    <w:rsid w:val="00A93705"/>
    <w:rsid w:val="00A93E73"/>
    <w:rsid w:val="00A94257"/>
    <w:rsid w:val="00A947C1"/>
    <w:rsid w:val="00A9514B"/>
    <w:rsid w:val="00A9554C"/>
    <w:rsid w:val="00A96BEB"/>
    <w:rsid w:val="00A97553"/>
    <w:rsid w:val="00AA05BA"/>
    <w:rsid w:val="00AA305B"/>
    <w:rsid w:val="00AA34B1"/>
    <w:rsid w:val="00AA483B"/>
    <w:rsid w:val="00AA49BF"/>
    <w:rsid w:val="00AA579C"/>
    <w:rsid w:val="00AA5A31"/>
    <w:rsid w:val="00AA5C73"/>
    <w:rsid w:val="00AA6987"/>
    <w:rsid w:val="00AA7920"/>
    <w:rsid w:val="00AB07AC"/>
    <w:rsid w:val="00AB1641"/>
    <w:rsid w:val="00AB2365"/>
    <w:rsid w:val="00AB3735"/>
    <w:rsid w:val="00AB37C9"/>
    <w:rsid w:val="00AB3F84"/>
    <w:rsid w:val="00AB4FB2"/>
    <w:rsid w:val="00AB5508"/>
    <w:rsid w:val="00AB59C7"/>
    <w:rsid w:val="00AB5D5D"/>
    <w:rsid w:val="00AB6F73"/>
    <w:rsid w:val="00AC1294"/>
    <w:rsid w:val="00AC15DE"/>
    <w:rsid w:val="00AC16C7"/>
    <w:rsid w:val="00AC2FB9"/>
    <w:rsid w:val="00AC31CD"/>
    <w:rsid w:val="00AC38B1"/>
    <w:rsid w:val="00AC3A61"/>
    <w:rsid w:val="00AC3CEB"/>
    <w:rsid w:val="00AC43BF"/>
    <w:rsid w:val="00AC4895"/>
    <w:rsid w:val="00AC5237"/>
    <w:rsid w:val="00AC54F2"/>
    <w:rsid w:val="00AC5F9E"/>
    <w:rsid w:val="00AC602D"/>
    <w:rsid w:val="00AC64AE"/>
    <w:rsid w:val="00AC6978"/>
    <w:rsid w:val="00AC6985"/>
    <w:rsid w:val="00AC7C24"/>
    <w:rsid w:val="00AD00B8"/>
    <w:rsid w:val="00AD0AE4"/>
    <w:rsid w:val="00AD0EB2"/>
    <w:rsid w:val="00AD0F41"/>
    <w:rsid w:val="00AD1DBD"/>
    <w:rsid w:val="00AD2321"/>
    <w:rsid w:val="00AD367B"/>
    <w:rsid w:val="00AD3777"/>
    <w:rsid w:val="00AD38D6"/>
    <w:rsid w:val="00AD3A57"/>
    <w:rsid w:val="00AD44A3"/>
    <w:rsid w:val="00AD45FF"/>
    <w:rsid w:val="00AD4939"/>
    <w:rsid w:val="00AD6054"/>
    <w:rsid w:val="00AD64BE"/>
    <w:rsid w:val="00AD69E8"/>
    <w:rsid w:val="00AD6B72"/>
    <w:rsid w:val="00AE03CA"/>
    <w:rsid w:val="00AE15FC"/>
    <w:rsid w:val="00AE1DCD"/>
    <w:rsid w:val="00AE2CC6"/>
    <w:rsid w:val="00AE2E50"/>
    <w:rsid w:val="00AE324C"/>
    <w:rsid w:val="00AE472B"/>
    <w:rsid w:val="00AE4991"/>
    <w:rsid w:val="00AE4CE9"/>
    <w:rsid w:val="00AE4E13"/>
    <w:rsid w:val="00AE5C3A"/>
    <w:rsid w:val="00AE6515"/>
    <w:rsid w:val="00AE6B0C"/>
    <w:rsid w:val="00AE76F5"/>
    <w:rsid w:val="00AF090F"/>
    <w:rsid w:val="00AF0BB5"/>
    <w:rsid w:val="00AF2E91"/>
    <w:rsid w:val="00AF3D20"/>
    <w:rsid w:val="00AF3E29"/>
    <w:rsid w:val="00AF4419"/>
    <w:rsid w:val="00AF5867"/>
    <w:rsid w:val="00AF70B6"/>
    <w:rsid w:val="00B00216"/>
    <w:rsid w:val="00B0085B"/>
    <w:rsid w:val="00B01144"/>
    <w:rsid w:val="00B011BE"/>
    <w:rsid w:val="00B02337"/>
    <w:rsid w:val="00B02CAF"/>
    <w:rsid w:val="00B03585"/>
    <w:rsid w:val="00B03A3C"/>
    <w:rsid w:val="00B0459B"/>
    <w:rsid w:val="00B047BD"/>
    <w:rsid w:val="00B05316"/>
    <w:rsid w:val="00B1176B"/>
    <w:rsid w:val="00B121EF"/>
    <w:rsid w:val="00B12703"/>
    <w:rsid w:val="00B13064"/>
    <w:rsid w:val="00B1521C"/>
    <w:rsid w:val="00B15587"/>
    <w:rsid w:val="00B15EFF"/>
    <w:rsid w:val="00B175E9"/>
    <w:rsid w:val="00B207C6"/>
    <w:rsid w:val="00B209BA"/>
    <w:rsid w:val="00B20B75"/>
    <w:rsid w:val="00B21022"/>
    <w:rsid w:val="00B2138F"/>
    <w:rsid w:val="00B220CD"/>
    <w:rsid w:val="00B22A17"/>
    <w:rsid w:val="00B23FD8"/>
    <w:rsid w:val="00B24E5A"/>
    <w:rsid w:val="00B259A6"/>
    <w:rsid w:val="00B2613E"/>
    <w:rsid w:val="00B264B8"/>
    <w:rsid w:val="00B279EA"/>
    <w:rsid w:val="00B27C83"/>
    <w:rsid w:val="00B3031A"/>
    <w:rsid w:val="00B30660"/>
    <w:rsid w:val="00B3071D"/>
    <w:rsid w:val="00B3084E"/>
    <w:rsid w:val="00B3102F"/>
    <w:rsid w:val="00B33666"/>
    <w:rsid w:val="00B33823"/>
    <w:rsid w:val="00B34607"/>
    <w:rsid w:val="00B34A86"/>
    <w:rsid w:val="00B34B40"/>
    <w:rsid w:val="00B3558E"/>
    <w:rsid w:val="00B3629B"/>
    <w:rsid w:val="00B36C95"/>
    <w:rsid w:val="00B36D35"/>
    <w:rsid w:val="00B37412"/>
    <w:rsid w:val="00B40F32"/>
    <w:rsid w:val="00B42000"/>
    <w:rsid w:val="00B42585"/>
    <w:rsid w:val="00B42A5B"/>
    <w:rsid w:val="00B43683"/>
    <w:rsid w:val="00B44772"/>
    <w:rsid w:val="00B45480"/>
    <w:rsid w:val="00B4590B"/>
    <w:rsid w:val="00B46E92"/>
    <w:rsid w:val="00B477A8"/>
    <w:rsid w:val="00B47CD9"/>
    <w:rsid w:val="00B50160"/>
    <w:rsid w:val="00B505C3"/>
    <w:rsid w:val="00B50759"/>
    <w:rsid w:val="00B52169"/>
    <w:rsid w:val="00B52436"/>
    <w:rsid w:val="00B527A4"/>
    <w:rsid w:val="00B527ED"/>
    <w:rsid w:val="00B52A1B"/>
    <w:rsid w:val="00B53A2A"/>
    <w:rsid w:val="00B55FE8"/>
    <w:rsid w:val="00B5737C"/>
    <w:rsid w:val="00B57590"/>
    <w:rsid w:val="00B577B0"/>
    <w:rsid w:val="00B577F8"/>
    <w:rsid w:val="00B579DB"/>
    <w:rsid w:val="00B60A62"/>
    <w:rsid w:val="00B60CE5"/>
    <w:rsid w:val="00B61EC2"/>
    <w:rsid w:val="00B61F59"/>
    <w:rsid w:val="00B620AD"/>
    <w:rsid w:val="00B62B8B"/>
    <w:rsid w:val="00B639BA"/>
    <w:rsid w:val="00B6507A"/>
    <w:rsid w:val="00B65AED"/>
    <w:rsid w:val="00B65E47"/>
    <w:rsid w:val="00B66027"/>
    <w:rsid w:val="00B660A8"/>
    <w:rsid w:val="00B66DD7"/>
    <w:rsid w:val="00B70429"/>
    <w:rsid w:val="00B709A5"/>
    <w:rsid w:val="00B70B17"/>
    <w:rsid w:val="00B70F94"/>
    <w:rsid w:val="00B7238A"/>
    <w:rsid w:val="00B732DF"/>
    <w:rsid w:val="00B73C1A"/>
    <w:rsid w:val="00B73E22"/>
    <w:rsid w:val="00B73F48"/>
    <w:rsid w:val="00B74434"/>
    <w:rsid w:val="00B74AA5"/>
    <w:rsid w:val="00B7519A"/>
    <w:rsid w:val="00B75B6A"/>
    <w:rsid w:val="00B76456"/>
    <w:rsid w:val="00B76B0C"/>
    <w:rsid w:val="00B77A78"/>
    <w:rsid w:val="00B80102"/>
    <w:rsid w:val="00B80856"/>
    <w:rsid w:val="00B80DFD"/>
    <w:rsid w:val="00B81FC4"/>
    <w:rsid w:val="00B83BF1"/>
    <w:rsid w:val="00B842D4"/>
    <w:rsid w:val="00B845BC"/>
    <w:rsid w:val="00B848F0"/>
    <w:rsid w:val="00B85B6B"/>
    <w:rsid w:val="00B85DA0"/>
    <w:rsid w:val="00B85E01"/>
    <w:rsid w:val="00B85F53"/>
    <w:rsid w:val="00B862F0"/>
    <w:rsid w:val="00B866AF"/>
    <w:rsid w:val="00B8682E"/>
    <w:rsid w:val="00B8756B"/>
    <w:rsid w:val="00B87F8D"/>
    <w:rsid w:val="00B91156"/>
    <w:rsid w:val="00B911A0"/>
    <w:rsid w:val="00B91F0F"/>
    <w:rsid w:val="00B925AD"/>
    <w:rsid w:val="00B92E0D"/>
    <w:rsid w:val="00B92F8D"/>
    <w:rsid w:val="00B930CF"/>
    <w:rsid w:val="00B936E6"/>
    <w:rsid w:val="00B93EBC"/>
    <w:rsid w:val="00B93EFF"/>
    <w:rsid w:val="00B94387"/>
    <w:rsid w:val="00B94E90"/>
    <w:rsid w:val="00B952E9"/>
    <w:rsid w:val="00B95FD5"/>
    <w:rsid w:val="00B9644E"/>
    <w:rsid w:val="00B9672A"/>
    <w:rsid w:val="00B9778F"/>
    <w:rsid w:val="00B97AE0"/>
    <w:rsid w:val="00BA0FED"/>
    <w:rsid w:val="00BA2ED9"/>
    <w:rsid w:val="00BA30FB"/>
    <w:rsid w:val="00BA3139"/>
    <w:rsid w:val="00BA3342"/>
    <w:rsid w:val="00BA3ABD"/>
    <w:rsid w:val="00BA3D2A"/>
    <w:rsid w:val="00BA4EEB"/>
    <w:rsid w:val="00BA55F6"/>
    <w:rsid w:val="00BA5A19"/>
    <w:rsid w:val="00BA5C63"/>
    <w:rsid w:val="00BA636A"/>
    <w:rsid w:val="00BA6D44"/>
    <w:rsid w:val="00BA7E8C"/>
    <w:rsid w:val="00BB036E"/>
    <w:rsid w:val="00BB07DA"/>
    <w:rsid w:val="00BB168B"/>
    <w:rsid w:val="00BB20B7"/>
    <w:rsid w:val="00BB2498"/>
    <w:rsid w:val="00BB34C1"/>
    <w:rsid w:val="00BB479F"/>
    <w:rsid w:val="00BB54FB"/>
    <w:rsid w:val="00BB6D11"/>
    <w:rsid w:val="00BB7518"/>
    <w:rsid w:val="00BB7C43"/>
    <w:rsid w:val="00BC11FD"/>
    <w:rsid w:val="00BC175B"/>
    <w:rsid w:val="00BC28A5"/>
    <w:rsid w:val="00BC2CEC"/>
    <w:rsid w:val="00BC2E9C"/>
    <w:rsid w:val="00BC426C"/>
    <w:rsid w:val="00BC68BE"/>
    <w:rsid w:val="00BC7509"/>
    <w:rsid w:val="00BC77CD"/>
    <w:rsid w:val="00BD065A"/>
    <w:rsid w:val="00BD153F"/>
    <w:rsid w:val="00BD15F0"/>
    <w:rsid w:val="00BD1C80"/>
    <w:rsid w:val="00BD2078"/>
    <w:rsid w:val="00BD36DC"/>
    <w:rsid w:val="00BD39EF"/>
    <w:rsid w:val="00BD404A"/>
    <w:rsid w:val="00BD42C0"/>
    <w:rsid w:val="00BD52FF"/>
    <w:rsid w:val="00BD543C"/>
    <w:rsid w:val="00BD603C"/>
    <w:rsid w:val="00BD67F4"/>
    <w:rsid w:val="00BD70CB"/>
    <w:rsid w:val="00BD74D5"/>
    <w:rsid w:val="00BE0349"/>
    <w:rsid w:val="00BE05B4"/>
    <w:rsid w:val="00BE09CB"/>
    <w:rsid w:val="00BE0E20"/>
    <w:rsid w:val="00BE1E88"/>
    <w:rsid w:val="00BE2445"/>
    <w:rsid w:val="00BE287D"/>
    <w:rsid w:val="00BE2FB1"/>
    <w:rsid w:val="00BE36F8"/>
    <w:rsid w:val="00BE42A1"/>
    <w:rsid w:val="00BE4885"/>
    <w:rsid w:val="00BE6BF1"/>
    <w:rsid w:val="00BE749A"/>
    <w:rsid w:val="00BE75BB"/>
    <w:rsid w:val="00BF0D86"/>
    <w:rsid w:val="00BF10B7"/>
    <w:rsid w:val="00BF1197"/>
    <w:rsid w:val="00BF1811"/>
    <w:rsid w:val="00BF359F"/>
    <w:rsid w:val="00BF36C3"/>
    <w:rsid w:val="00BF38FB"/>
    <w:rsid w:val="00BF4702"/>
    <w:rsid w:val="00BF6C5E"/>
    <w:rsid w:val="00BF7369"/>
    <w:rsid w:val="00C0010E"/>
    <w:rsid w:val="00C0021E"/>
    <w:rsid w:val="00C004BD"/>
    <w:rsid w:val="00C00EB1"/>
    <w:rsid w:val="00C0133B"/>
    <w:rsid w:val="00C032E1"/>
    <w:rsid w:val="00C0488F"/>
    <w:rsid w:val="00C0496A"/>
    <w:rsid w:val="00C04A6B"/>
    <w:rsid w:val="00C0565A"/>
    <w:rsid w:val="00C05AB2"/>
    <w:rsid w:val="00C071B6"/>
    <w:rsid w:val="00C0739E"/>
    <w:rsid w:val="00C07806"/>
    <w:rsid w:val="00C10CED"/>
    <w:rsid w:val="00C110B2"/>
    <w:rsid w:val="00C1113C"/>
    <w:rsid w:val="00C11304"/>
    <w:rsid w:val="00C114E7"/>
    <w:rsid w:val="00C12510"/>
    <w:rsid w:val="00C136D6"/>
    <w:rsid w:val="00C13F8C"/>
    <w:rsid w:val="00C14027"/>
    <w:rsid w:val="00C14D6E"/>
    <w:rsid w:val="00C14DB5"/>
    <w:rsid w:val="00C15286"/>
    <w:rsid w:val="00C156A5"/>
    <w:rsid w:val="00C15D05"/>
    <w:rsid w:val="00C166C2"/>
    <w:rsid w:val="00C16AB0"/>
    <w:rsid w:val="00C1744F"/>
    <w:rsid w:val="00C21DB3"/>
    <w:rsid w:val="00C21E9D"/>
    <w:rsid w:val="00C2261F"/>
    <w:rsid w:val="00C23211"/>
    <w:rsid w:val="00C23639"/>
    <w:rsid w:val="00C23C48"/>
    <w:rsid w:val="00C24422"/>
    <w:rsid w:val="00C24890"/>
    <w:rsid w:val="00C255BF"/>
    <w:rsid w:val="00C25849"/>
    <w:rsid w:val="00C25C14"/>
    <w:rsid w:val="00C27623"/>
    <w:rsid w:val="00C2780C"/>
    <w:rsid w:val="00C27A5F"/>
    <w:rsid w:val="00C27B47"/>
    <w:rsid w:val="00C300A7"/>
    <w:rsid w:val="00C3073B"/>
    <w:rsid w:val="00C31E0D"/>
    <w:rsid w:val="00C32CA5"/>
    <w:rsid w:val="00C33317"/>
    <w:rsid w:val="00C33F54"/>
    <w:rsid w:val="00C34062"/>
    <w:rsid w:val="00C346C9"/>
    <w:rsid w:val="00C3573D"/>
    <w:rsid w:val="00C35C88"/>
    <w:rsid w:val="00C36FAB"/>
    <w:rsid w:val="00C3773C"/>
    <w:rsid w:val="00C37E3F"/>
    <w:rsid w:val="00C405F5"/>
    <w:rsid w:val="00C41940"/>
    <w:rsid w:val="00C41B21"/>
    <w:rsid w:val="00C42547"/>
    <w:rsid w:val="00C42AAC"/>
    <w:rsid w:val="00C42F24"/>
    <w:rsid w:val="00C43D26"/>
    <w:rsid w:val="00C4407C"/>
    <w:rsid w:val="00C449E7"/>
    <w:rsid w:val="00C44E0B"/>
    <w:rsid w:val="00C465DC"/>
    <w:rsid w:val="00C465F1"/>
    <w:rsid w:val="00C46896"/>
    <w:rsid w:val="00C52D09"/>
    <w:rsid w:val="00C5387F"/>
    <w:rsid w:val="00C5403E"/>
    <w:rsid w:val="00C54055"/>
    <w:rsid w:val="00C54369"/>
    <w:rsid w:val="00C54454"/>
    <w:rsid w:val="00C5465E"/>
    <w:rsid w:val="00C54A6B"/>
    <w:rsid w:val="00C54C76"/>
    <w:rsid w:val="00C555C4"/>
    <w:rsid w:val="00C5650F"/>
    <w:rsid w:val="00C567D4"/>
    <w:rsid w:val="00C573D1"/>
    <w:rsid w:val="00C60681"/>
    <w:rsid w:val="00C61CB0"/>
    <w:rsid w:val="00C62898"/>
    <w:rsid w:val="00C63647"/>
    <w:rsid w:val="00C63B13"/>
    <w:rsid w:val="00C644E9"/>
    <w:rsid w:val="00C64D12"/>
    <w:rsid w:val="00C6667B"/>
    <w:rsid w:val="00C66C9B"/>
    <w:rsid w:val="00C66FB1"/>
    <w:rsid w:val="00C70C1C"/>
    <w:rsid w:val="00C70E41"/>
    <w:rsid w:val="00C70F0E"/>
    <w:rsid w:val="00C74D25"/>
    <w:rsid w:val="00C7567A"/>
    <w:rsid w:val="00C7573E"/>
    <w:rsid w:val="00C76007"/>
    <w:rsid w:val="00C76243"/>
    <w:rsid w:val="00C7625F"/>
    <w:rsid w:val="00C7651F"/>
    <w:rsid w:val="00C766CD"/>
    <w:rsid w:val="00C76767"/>
    <w:rsid w:val="00C772BD"/>
    <w:rsid w:val="00C7742C"/>
    <w:rsid w:val="00C8144D"/>
    <w:rsid w:val="00C81914"/>
    <w:rsid w:val="00C81953"/>
    <w:rsid w:val="00C81CC9"/>
    <w:rsid w:val="00C81FA3"/>
    <w:rsid w:val="00C836E0"/>
    <w:rsid w:val="00C8388B"/>
    <w:rsid w:val="00C84EFA"/>
    <w:rsid w:val="00C85B68"/>
    <w:rsid w:val="00C865EB"/>
    <w:rsid w:val="00C905CC"/>
    <w:rsid w:val="00C90915"/>
    <w:rsid w:val="00C917E9"/>
    <w:rsid w:val="00C92791"/>
    <w:rsid w:val="00C92BB3"/>
    <w:rsid w:val="00C92BEF"/>
    <w:rsid w:val="00C93F39"/>
    <w:rsid w:val="00C940B9"/>
    <w:rsid w:val="00C96076"/>
    <w:rsid w:val="00C97590"/>
    <w:rsid w:val="00C97B23"/>
    <w:rsid w:val="00C97EE7"/>
    <w:rsid w:val="00CA114B"/>
    <w:rsid w:val="00CA23A4"/>
    <w:rsid w:val="00CA250A"/>
    <w:rsid w:val="00CA2CE6"/>
    <w:rsid w:val="00CA481F"/>
    <w:rsid w:val="00CA4927"/>
    <w:rsid w:val="00CA4A54"/>
    <w:rsid w:val="00CA4F25"/>
    <w:rsid w:val="00CA5530"/>
    <w:rsid w:val="00CA57E1"/>
    <w:rsid w:val="00CA5DE8"/>
    <w:rsid w:val="00CA5EBA"/>
    <w:rsid w:val="00CA604D"/>
    <w:rsid w:val="00CA7456"/>
    <w:rsid w:val="00CA74F7"/>
    <w:rsid w:val="00CB134C"/>
    <w:rsid w:val="00CB208D"/>
    <w:rsid w:val="00CB31BC"/>
    <w:rsid w:val="00CB3395"/>
    <w:rsid w:val="00CB3416"/>
    <w:rsid w:val="00CB5439"/>
    <w:rsid w:val="00CB5D91"/>
    <w:rsid w:val="00CB5E2F"/>
    <w:rsid w:val="00CB60C1"/>
    <w:rsid w:val="00CB795C"/>
    <w:rsid w:val="00CB7CAE"/>
    <w:rsid w:val="00CB7DEF"/>
    <w:rsid w:val="00CB7F97"/>
    <w:rsid w:val="00CC05E5"/>
    <w:rsid w:val="00CC12DE"/>
    <w:rsid w:val="00CC3906"/>
    <w:rsid w:val="00CC3AC7"/>
    <w:rsid w:val="00CC3D32"/>
    <w:rsid w:val="00CC4F84"/>
    <w:rsid w:val="00CC5E01"/>
    <w:rsid w:val="00CC5E20"/>
    <w:rsid w:val="00CC677C"/>
    <w:rsid w:val="00CC6E9F"/>
    <w:rsid w:val="00CD01DB"/>
    <w:rsid w:val="00CD0865"/>
    <w:rsid w:val="00CD1807"/>
    <w:rsid w:val="00CD18D7"/>
    <w:rsid w:val="00CD1A8B"/>
    <w:rsid w:val="00CD1B84"/>
    <w:rsid w:val="00CD2103"/>
    <w:rsid w:val="00CD2338"/>
    <w:rsid w:val="00CD26D7"/>
    <w:rsid w:val="00CD2744"/>
    <w:rsid w:val="00CD39A3"/>
    <w:rsid w:val="00CD4161"/>
    <w:rsid w:val="00CD4B76"/>
    <w:rsid w:val="00CD4BAA"/>
    <w:rsid w:val="00CD5094"/>
    <w:rsid w:val="00CD5504"/>
    <w:rsid w:val="00CD6E39"/>
    <w:rsid w:val="00CD7D78"/>
    <w:rsid w:val="00CE0302"/>
    <w:rsid w:val="00CE0A71"/>
    <w:rsid w:val="00CE10D1"/>
    <w:rsid w:val="00CE27F7"/>
    <w:rsid w:val="00CE2BC1"/>
    <w:rsid w:val="00CE2EBF"/>
    <w:rsid w:val="00CE4076"/>
    <w:rsid w:val="00CE441C"/>
    <w:rsid w:val="00CE45B7"/>
    <w:rsid w:val="00CE4B7B"/>
    <w:rsid w:val="00CE53A5"/>
    <w:rsid w:val="00CF07E4"/>
    <w:rsid w:val="00CF0D29"/>
    <w:rsid w:val="00CF15BD"/>
    <w:rsid w:val="00CF1AFA"/>
    <w:rsid w:val="00CF1B17"/>
    <w:rsid w:val="00CF2D94"/>
    <w:rsid w:val="00CF31B5"/>
    <w:rsid w:val="00CF48C1"/>
    <w:rsid w:val="00CF5238"/>
    <w:rsid w:val="00CF5D51"/>
    <w:rsid w:val="00CF6D3D"/>
    <w:rsid w:val="00CF7F3F"/>
    <w:rsid w:val="00D005C9"/>
    <w:rsid w:val="00D00BEE"/>
    <w:rsid w:val="00D01141"/>
    <w:rsid w:val="00D02C2B"/>
    <w:rsid w:val="00D030C0"/>
    <w:rsid w:val="00D03503"/>
    <w:rsid w:val="00D03A21"/>
    <w:rsid w:val="00D06606"/>
    <w:rsid w:val="00D06C89"/>
    <w:rsid w:val="00D06D04"/>
    <w:rsid w:val="00D104A1"/>
    <w:rsid w:val="00D1054C"/>
    <w:rsid w:val="00D11673"/>
    <w:rsid w:val="00D11E0A"/>
    <w:rsid w:val="00D122D6"/>
    <w:rsid w:val="00D122E3"/>
    <w:rsid w:val="00D12686"/>
    <w:rsid w:val="00D1328F"/>
    <w:rsid w:val="00D13416"/>
    <w:rsid w:val="00D14C42"/>
    <w:rsid w:val="00D150CB"/>
    <w:rsid w:val="00D1574E"/>
    <w:rsid w:val="00D15806"/>
    <w:rsid w:val="00D16145"/>
    <w:rsid w:val="00D171FF"/>
    <w:rsid w:val="00D1746D"/>
    <w:rsid w:val="00D1756F"/>
    <w:rsid w:val="00D17B2F"/>
    <w:rsid w:val="00D17E06"/>
    <w:rsid w:val="00D20B8C"/>
    <w:rsid w:val="00D21C1F"/>
    <w:rsid w:val="00D2304F"/>
    <w:rsid w:val="00D23E42"/>
    <w:rsid w:val="00D24240"/>
    <w:rsid w:val="00D2450F"/>
    <w:rsid w:val="00D259F3"/>
    <w:rsid w:val="00D25DD0"/>
    <w:rsid w:val="00D25FC3"/>
    <w:rsid w:val="00D260FB"/>
    <w:rsid w:val="00D2661B"/>
    <w:rsid w:val="00D26EA1"/>
    <w:rsid w:val="00D273DD"/>
    <w:rsid w:val="00D30151"/>
    <w:rsid w:val="00D30933"/>
    <w:rsid w:val="00D30A41"/>
    <w:rsid w:val="00D3123A"/>
    <w:rsid w:val="00D33254"/>
    <w:rsid w:val="00D33A4D"/>
    <w:rsid w:val="00D33E04"/>
    <w:rsid w:val="00D34A38"/>
    <w:rsid w:val="00D34F6C"/>
    <w:rsid w:val="00D35C17"/>
    <w:rsid w:val="00D361E1"/>
    <w:rsid w:val="00D36528"/>
    <w:rsid w:val="00D377E6"/>
    <w:rsid w:val="00D4115C"/>
    <w:rsid w:val="00D43352"/>
    <w:rsid w:val="00D44654"/>
    <w:rsid w:val="00D4490A"/>
    <w:rsid w:val="00D45257"/>
    <w:rsid w:val="00D45498"/>
    <w:rsid w:val="00D45FD1"/>
    <w:rsid w:val="00D473C6"/>
    <w:rsid w:val="00D5031D"/>
    <w:rsid w:val="00D504D7"/>
    <w:rsid w:val="00D516F4"/>
    <w:rsid w:val="00D51FEF"/>
    <w:rsid w:val="00D537FB"/>
    <w:rsid w:val="00D53DF0"/>
    <w:rsid w:val="00D53E86"/>
    <w:rsid w:val="00D553EC"/>
    <w:rsid w:val="00D568B5"/>
    <w:rsid w:val="00D56F3A"/>
    <w:rsid w:val="00D57E0B"/>
    <w:rsid w:val="00D601C6"/>
    <w:rsid w:val="00D60329"/>
    <w:rsid w:val="00D604C5"/>
    <w:rsid w:val="00D613CD"/>
    <w:rsid w:val="00D61D94"/>
    <w:rsid w:val="00D62376"/>
    <w:rsid w:val="00D625F0"/>
    <w:rsid w:val="00D63376"/>
    <w:rsid w:val="00D64A5F"/>
    <w:rsid w:val="00D65321"/>
    <w:rsid w:val="00D65FD7"/>
    <w:rsid w:val="00D66FBF"/>
    <w:rsid w:val="00D67345"/>
    <w:rsid w:val="00D701E4"/>
    <w:rsid w:val="00D7083F"/>
    <w:rsid w:val="00D72449"/>
    <w:rsid w:val="00D73B63"/>
    <w:rsid w:val="00D75037"/>
    <w:rsid w:val="00D75219"/>
    <w:rsid w:val="00D7571B"/>
    <w:rsid w:val="00D75E17"/>
    <w:rsid w:val="00D764BE"/>
    <w:rsid w:val="00D7765E"/>
    <w:rsid w:val="00D80350"/>
    <w:rsid w:val="00D811EA"/>
    <w:rsid w:val="00D816A9"/>
    <w:rsid w:val="00D818C6"/>
    <w:rsid w:val="00D81A1B"/>
    <w:rsid w:val="00D8204E"/>
    <w:rsid w:val="00D82AEB"/>
    <w:rsid w:val="00D82F1E"/>
    <w:rsid w:val="00D83D30"/>
    <w:rsid w:val="00D83E69"/>
    <w:rsid w:val="00D8527C"/>
    <w:rsid w:val="00D8665B"/>
    <w:rsid w:val="00D86BAE"/>
    <w:rsid w:val="00D86F75"/>
    <w:rsid w:val="00D87AD4"/>
    <w:rsid w:val="00D90B5A"/>
    <w:rsid w:val="00D90EB0"/>
    <w:rsid w:val="00D929DE"/>
    <w:rsid w:val="00D92A09"/>
    <w:rsid w:val="00D92F72"/>
    <w:rsid w:val="00D9470A"/>
    <w:rsid w:val="00D94C1E"/>
    <w:rsid w:val="00D9521D"/>
    <w:rsid w:val="00D952FF"/>
    <w:rsid w:val="00D95C1A"/>
    <w:rsid w:val="00D95C70"/>
    <w:rsid w:val="00D95F24"/>
    <w:rsid w:val="00D97A9E"/>
    <w:rsid w:val="00D97C11"/>
    <w:rsid w:val="00D97F73"/>
    <w:rsid w:val="00DA04AD"/>
    <w:rsid w:val="00DA092C"/>
    <w:rsid w:val="00DA0C8C"/>
    <w:rsid w:val="00DA0F7A"/>
    <w:rsid w:val="00DA16C2"/>
    <w:rsid w:val="00DA20E9"/>
    <w:rsid w:val="00DA37DB"/>
    <w:rsid w:val="00DA3D61"/>
    <w:rsid w:val="00DA3FBA"/>
    <w:rsid w:val="00DA3FF6"/>
    <w:rsid w:val="00DA42B2"/>
    <w:rsid w:val="00DA4A5A"/>
    <w:rsid w:val="00DA54EE"/>
    <w:rsid w:val="00DA5F62"/>
    <w:rsid w:val="00DA6D52"/>
    <w:rsid w:val="00DB03FA"/>
    <w:rsid w:val="00DB05D2"/>
    <w:rsid w:val="00DB0F04"/>
    <w:rsid w:val="00DB1925"/>
    <w:rsid w:val="00DB265E"/>
    <w:rsid w:val="00DB2903"/>
    <w:rsid w:val="00DB3AA4"/>
    <w:rsid w:val="00DB3EBA"/>
    <w:rsid w:val="00DB44C7"/>
    <w:rsid w:val="00DB490B"/>
    <w:rsid w:val="00DB5386"/>
    <w:rsid w:val="00DB577F"/>
    <w:rsid w:val="00DB7314"/>
    <w:rsid w:val="00DB77F1"/>
    <w:rsid w:val="00DB7FEF"/>
    <w:rsid w:val="00DC00CF"/>
    <w:rsid w:val="00DC0BF9"/>
    <w:rsid w:val="00DC0D3A"/>
    <w:rsid w:val="00DC19EF"/>
    <w:rsid w:val="00DC21F4"/>
    <w:rsid w:val="00DC376C"/>
    <w:rsid w:val="00DC470C"/>
    <w:rsid w:val="00DC4B2A"/>
    <w:rsid w:val="00DC52EE"/>
    <w:rsid w:val="00DC60E3"/>
    <w:rsid w:val="00DC6727"/>
    <w:rsid w:val="00DC682C"/>
    <w:rsid w:val="00DC7479"/>
    <w:rsid w:val="00DC7C29"/>
    <w:rsid w:val="00DC7DED"/>
    <w:rsid w:val="00DD0B3D"/>
    <w:rsid w:val="00DD176F"/>
    <w:rsid w:val="00DD1CAF"/>
    <w:rsid w:val="00DD2DF1"/>
    <w:rsid w:val="00DD3187"/>
    <w:rsid w:val="00DD38E0"/>
    <w:rsid w:val="00DD3B1C"/>
    <w:rsid w:val="00DD4375"/>
    <w:rsid w:val="00DD4656"/>
    <w:rsid w:val="00DD4A98"/>
    <w:rsid w:val="00DD56E3"/>
    <w:rsid w:val="00DD5BA9"/>
    <w:rsid w:val="00DD6290"/>
    <w:rsid w:val="00DD63CB"/>
    <w:rsid w:val="00DD6534"/>
    <w:rsid w:val="00DD7BD5"/>
    <w:rsid w:val="00DE04C7"/>
    <w:rsid w:val="00DE069B"/>
    <w:rsid w:val="00DE17A0"/>
    <w:rsid w:val="00DE22E0"/>
    <w:rsid w:val="00DE23B1"/>
    <w:rsid w:val="00DE2568"/>
    <w:rsid w:val="00DE3541"/>
    <w:rsid w:val="00DE3AA8"/>
    <w:rsid w:val="00DE3F9B"/>
    <w:rsid w:val="00DE5838"/>
    <w:rsid w:val="00DE5A5E"/>
    <w:rsid w:val="00DE7D45"/>
    <w:rsid w:val="00DF02B5"/>
    <w:rsid w:val="00DF1B88"/>
    <w:rsid w:val="00DF2002"/>
    <w:rsid w:val="00DF2362"/>
    <w:rsid w:val="00DF298A"/>
    <w:rsid w:val="00DF2AF7"/>
    <w:rsid w:val="00DF2E17"/>
    <w:rsid w:val="00DF3B9E"/>
    <w:rsid w:val="00DF51D3"/>
    <w:rsid w:val="00DF5316"/>
    <w:rsid w:val="00DF5319"/>
    <w:rsid w:val="00DF54C0"/>
    <w:rsid w:val="00DF7C98"/>
    <w:rsid w:val="00DF7E30"/>
    <w:rsid w:val="00E00A33"/>
    <w:rsid w:val="00E00A54"/>
    <w:rsid w:val="00E00B78"/>
    <w:rsid w:val="00E0208A"/>
    <w:rsid w:val="00E03DA8"/>
    <w:rsid w:val="00E04852"/>
    <w:rsid w:val="00E04C5D"/>
    <w:rsid w:val="00E04FC5"/>
    <w:rsid w:val="00E050D1"/>
    <w:rsid w:val="00E05D2F"/>
    <w:rsid w:val="00E06169"/>
    <w:rsid w:val="00E06234"/>
    <w:rsid w:val="00E069B8"/>
    <w:rsid w:val="00E103BB"/>
    <w:rsid w:val="00E10DC1"/>
    <w:rsid w:val="00E113EE"/>
    <w:rsid w:val="00E11B53"/>
    <w:rsid w:val="00E122F7"/>
    <w:rsid w:val="00E13A52"/>
    <w:rsid w:val="00E1434E"/>
    <w:rsid w:val="00E14FA8"/>
    <w:rsid w:val="00E16261"/>
    <w:rsid w:val="00E16D9A"/>
    <w:rsid w:val="00E16F57"/>
    <w:rsid w:val="00E17B4B"/>
    <w:rsid w:val="00E20C0D"/>
    <w:rsid w:val="00E20CD9"/>
    <w:rsid w:val="00E21EA1"/>
    <w:rsid w:val="00E21FE7"/>
    <w:rsid w:val="00E22D5C"/>
    <w:rsid w:val="00E230DC"/>
    <w:rsid w:val="00E23CE5"/>
    <w:rsid w:val="00E25644"/>
    <w:rsid w:val="00E257AD"/>
    <w:rsid w:val="00E269B1"/>
    <w:rsid w:val="00E26CB9"/>
    <w:rsid w:val="00E27A3B"/>
    <w:rsid w:val="00E3097C"/>
    <w:rsid w:val="00E309D8"/>
    <w:rsid w:val="00E3149B"/>
    <w:rsid w:val="00E31DF2"/>
    <w:rsid w:val="00E33533"/>
    <w:rsid w:val="00E33943"/>
    <w:rsid w:val="00E34565"/>
    <w:rsid w:val="00E34910"/>
    <w:rsid w:val="00E34B83"/>
    <w:rsid w:val="00E34C3C"/>
    <w:rsid w:val="00E35164"/>
    <w:rsid w:val="00E35C93"/>
    <w:rsid w:val="00E3653B"/>
    <w:rsid w:val="00E37811"/>
    <w:rsid w:val="00E403AF"/>
    <w:rsid w:val="00E40BDF"/>
    <w:rsid w:val="00E41730"/>
    <w:rsid w:val="00E41961"/>
    <w:rsid w:val="00E41C58"/>
    <w:rsid w:val="00E422A8"/>
    <w:rsid w:val="00E42E86"/>
    <w:rsid w:val="00E43186"/>
    <w:rsid w:val="00E44927"/>
    <w:rsid w:val="00E453B6"/>
    <w:rsid w:val="00E46004"/>
    <w:rsid w:val="00E46B21"/>
    <w:rsid w:val="00E46C03"/>
    <w:rsid w:val="00E522CA"/>
    <w:rsid w:val="00E525E5"/>
    <w:rsid w:val="00E52BB8"/>
    <w:rsid w:val="00E5320C"/>
    <w:rsid w:val="00E540B1"/>
    <w:rsid w:val="00E55A11"/>
    <w:rsid w:val="00E56047"/>
    <w:rsid w:val="00E5604B"/>
    <w:rsid w:val="00E564BB"/>
    <w:rsid w:val="00E570C9"/>
    <w:rsid w:val="00E57214"/>
    <w:rsid w:val="00E5722A"/>
    <w:rsid w:val="00E575EF"/>
    <w:rsid w:val="00E57E80"/>
    <w:rsid w:val="00E57EE5"/>
    <w:rsid w:val="00E60B71"/>
    <w:rsid w:val="00E6175B"/>
    <w:rsid w:val="00E62A2F"/>
    <w:rsid w:val="00E63413"/>
    <w:rsid w:val="00E63466"/>
    <w:rsid w:val="00E6391C"/>
    <w:rsid w:val="00E639D6"/>
    <w:rsid w:val="00E6581F"/>
    <w:rsid w:val="00E65F75"/>
    <w:rsid w:val="00E66C59"/>
    <w:rsid w:val="00E71185"/>
    <w:rsid w:val="00E72621"/>
    <w:rsid w:val="00E72FE2"/>
    <w:rsid w:val="00E738B3"/>
    <w:rsid w:val="00E74174"/>
    <w:rsid w:val="00E7537F"/>
    <w:rsid w:val="00E75920"/>
    <w:rsid w:val="00E75A7D"/>
    <w:rsid w:val="00E75EC1"/>
    <w:rsid w:val="00E76471"/>
    <w:rsid w:val="00E768E2"/>
    <w:rsid w:val="00E7728A"/>
    <w:rsid w:val="00E80546"/>
    <w:rsid w:val="00E80A14"/>
    <w:rsid w:val="00E81482"/>
    <w:rsid w:val="00E81BA2"/>
    <w:rsid w:val="00E82270"/>
    <w:rsid w:val="00E824B5"/>
    <w:rsid w:val="00E831FD"/>
    <w:rsid w:val="00E8336A"/>
    <w:rsid w:val="00E83A02"/>
    <w:rsid w:val="00E8437C"/>
    <w:rsid w:val="00E84386"/>
    <w:rsid w:val="00E85086"/>
    <w:rsid w:val="00E854B9"/>
    <w:rsid w:val="00E86B0A"/>
    <w:rsid w:val="00E87A22"/>
    <w:rsid w:val="00E90E3A"/>
    <w:rsid w:val="00E91EBE"/>
    <w:rsid w:val="00E9266A"/>
    <w:rsid w:val="00E93E9E"/>
    <w:rsid w:val="00E93F40"/>
    <w:rsid w:val="00E942AC"/>
    <w:rsid w:val="00E947D1"/>
    <w:rsid w:val="00E9590C"/>
    <w:rsid w:val="00E959AA"/>
    <w:rsid w:val="00E95C3B"/>
    <w:rsid w:val="00E9633F"/>
    <w:rsid w:val="00E9689F"/>
    <w:rsid w:val="00EA0157"/>
    <w:rsid w:val="00EA032C"/>
    <w:rsid w:val="00EA0458"/>
    <w:rsid w:val="00EA12A2"/>
    <w:rsid w:val="00EA174F"/>
    <w:rsid w:val="00EA2FC2"/>
    <w:rsid w:val="00EA3612"/>
    <w:rsid w:val="00EA6378"/>
    <w:rsid w:val="00EA717A"/>
    <w:rsid w:val="00EA74C5"/>
    <w:rsid w:val="00EB0C23"/>
    <w:rsid w:val="00EB0D36"/>
    <w:rsid w:val="00EB1CC1"/>
    <w:rsid w:val="00EB220B"/>
    <w:rsid w:val="00EB2B53"/>
    <w:rsid w:val="00EB2B72"/>
    <w:rsid w:val="00EB320C"/>
    <w:rsid w:val="00EB324B"/>
    <w:rsid w:val="00EB339F"/>
    <w:rsid w:val="00EB3A9E"/>
    <w:rsid w:val="00EB47DB"/>
    <w:rsid w:val="00EB5793"/>
    <w:rsid w:val="00EB590B"/>
    <w:rsid w:val="00EB5C78"/>
    <w:rsid w:val="00EB616B"/>
    <w:rsid w:val="00EB61FD"/>
    <w:rsid w:val="00EB70CE"/>
    <w:rsid w:val="00EB77ED"/>
    <w:rsid w:val="00EB7FF6"/>
    <w:rsid w:val="00EC0CF1"/>
    <w:rsid w:val="00EC127E"/>
    <w:rsid w:val="00EC1660"/>
    <w:rsid w:val="00EC1784"/>
    <w:rsid w:val="00EC1E1C"/>
    <w:rsid w:val="00EC2256"/>
    <w:rsid w:val="00EC384C"/>
    <w:rsid w:val="00EC3D77"/>
    <w:rsid w:val="00EC3F5A"/>
    <w:rsid w:val="00EC571F"/>
    <w:rsid w:val="00EC5CB4"/>
    <w:rsid w:val="00EC660E"/>
    <w:rsid w:val="00EC6D38"/>
    <w:rsid w:val="00EC72E0"/>
    <w:rsid w:val="00EC73AB"/>
    <w:rsid w:val="00EC790F"/>
    <w:rsid w:val="00EC7BAF"/>
    <w:rsid w:val="00ED018C"/>
    <w:rsid w:val="00ED0B22"/>
    <w:rsid w:val="00ED1103"/>
    <w:rsid w:val="00ED1106"/>
    <w:rsid w:val="00ED1A85"/>
    <w:rsid w:val="00ED1BCE"/>
    <w:rsid w:val="00ED1FE7"/>
    <w:rsid w:val="00ED374A"/>
    <w:rsid w:val="00ED3B73"/>
    <w:rsid w:val="00ED3CFA"/>
    <w:rsid w:val="00ED4285"/>
    <w:rsid w:val="00ED440F"/>
    <w:rsid w:val="00ED4A07"/>
    <w:rsid w:val="00ED5F41"/>
    <w:rsid w:val="00ED64E9"/>
    <w:rsid w:val="00ED6E5C"/>
    <w:rsid w:val="00ED6F78"/>
    <w:rsid w:val="00ED7CC7"/>
    <w:rsid w:val="00EE04E6"/>
    <w:rsid w:val="00EE07C9"/>
    <w:rsid w:val="00EE0B73"/>
    <w:rsid w:val="00EE1656"/>
    <w:rsid w:val="00EE19F9"/>
    <w:rsid w:val="00EE26DD"/>
    <w:rsid w:val="00EE2AE0"/>
    <w:rsid w:val="00EE2F75"/>
    <w:rsid w:val="00EE3F69"/>
    <w:rsid w:val="00EE412D"/>
    <w:rsid w:val="00EE4C82"/>
    <w:rsid w:val="00EE5634"/>
    <w:rsid w:val="00EE5C7C"/>
    <w:rsid w:val="00EE61AA"/>
    <w:rsid w:val="00EE67AB"/>
    <w:rsid w:val="00EE776F"/>
    <w:rsid w:val="00EE7890"/>
    <w:rsid w:val="00EE7FFD"/>
    <w:rsid w:val="00EF038B"/>
    <w:rsid w:val="00EF0C06"/>
    <w:rsid w:val="00EF1F55"/>
    <w:rsid w:val="00EF293E"/>
    <w:rsid w:val="00EF3189"/>
    <w:rsid w:val="00EF322B"/>
    <w:rsid w:val="00EF45F6"/>
    <w:rsid w:val="00EF4A37"/>
    <w:rsid w:val="00EF5709"/>
    <w:rsid w:val="00EF59C2"/>
    <w:rsid w:val="00EF5DCD"/>
    <w:rsid w:val="00EF6D55"/>
    <w:rsid w:val="00EF7264"/>
    <w:rsid w:val="00EF7DBB"/>
    <w:rsid w:val="00F004B9"/>
    <w:rsid w:val="00F005FA"/>
    <w:rsid w:val="00F00965"/>
    <w:rsid w:val="00F00E44"/>
    <w:rsid w:val="00F01404"/>
    <w:rsid w:val="00F0179C"/>
    <w:rsid w:val="00F01A13"/>
    <w:rsid w:val="00F01D53"/>
    <w:rsid w:val="00F02D6A"/>
    <w:rsid w:val="00F032D8"/>
    <w:rsid w:val="00F03D08"/>
    <w:rsid w:val="00F042E9"/>
    <w:rsid w:val="00F045F5"/>
    <w:rsid w:val="00F04D83"/>
    <w:rsid w:val="00F0612D"/>
    <w:rsid w:val="00F06167"/>
    <w:rsid w:val="00F06229"/>
    <w:rsid w:val="00F0650B"/>
    <w:rsid w:val="00F06ABF"/>
    <w:rsid w:val="00F06BC9"/>
    <w:rsid w:val="00F06C89"/>
    <w:rsid w:val="00F07560"/>
    <w:rsid w:val="00F07C4F"/>
    <w:rsid w:val="00F10E6E"/>
    <w:rsid w:val="00F115F5"/>
    <w:rsid w:val="00F1160D"/>
    <w:rsid w:val="00F11916"/>
    <w:rsid w:val="00F11D13"/>
    <w:rsid w:val="00F121A8"/>
    <w:rsid w:val="00F1284A"/>
    <w:rsid w:val="00F12AF8"/>
    <w:rsid w:val="00F13040"/>
    <w:rsid w:val="00F139FA"/>
    <w:rsid w:val="00F13BA4"/>
    <w:rsid w:val="00F14897"/>
    <w:rsid w:val="00F14E8B"/>
    <w:rsid w:val="00F15356"/>
    <w:rsid w:val="00F15E48"/>
    <w:rsid w:val="00F20755"/>
    <w:rsid w:val="00F20E42"/>
    <w:rsid w:val="00F20ECA"/>
    <w:rsid w:val="00F20ED5"/>
    <w:rsid w:val="00F20F31"/>
    <w:rsid w:val="00F21565"/>
    <w:rsid w:val="00F21783"/>
    <w:rsid w:val="00F2295A"/>
    <w:rsid w:val="00F23008"/>
    <w:rsid w:val="00F23411"/>
    <w:rsid w:val="00F23F90"/>
    <w:rsid w:val="00F24174"/>
    <w:rsid w:val="00F24188"/>
    <w:rsid w:val="00F24654"/>
    <w:rsid w:val="00F24FCD"/>
    <w:rsid w:val="00F25B16"/>
    <w:rsid w:val="00F2603A"/>
    <w:rsid w:val="00F264A5"/>
    <w:rsid w:val="00F26D61"/>
    <w:rsid w:val="00F273AA"/>
    <w:rsid w:val="00F27ABD"/>
    <w:rsid w:val="00F27ED2"/>
    <w:rsid w:val="00F305D7"/>
    <w:rsid w:val="00F309C7"/>
    <w:rsid w:val="00F30A88"/>
    <w:rsid w:val="00F31366"/>
    <w:rsid w:val="00F31463"/>
    <w:rsid w:val="00F3150E"/>
    <w:rsid w:val="00F31CC4"/>
    <w:rsid w:val="00F322B8"/>
    <w:rsid w:val="00F32620"/>
    <w:rsid w:val="00F3292A"/>
    <w:rsid w:val="00F3329E"/>
    <w:rsid w:val="00F35595"/>
    <w:rsid w:val="00F35FCF"/>
    <w:rsid w:val="00F361C1"/>
    <w:rsid w:val="00F361CF"/>
    <w:rsid w:val="00F37467"/>
    <w:rsid w:val="00F37AAE"/>
    <w:rsid w:val="00F37C8C"/>
    <w:rsid w:val="00F40311"/>
    <w:rsid w:val="00F41BA5"/>
    <w:rsid w:val="00F41D51"/>
    <w:rsid w:val="00F4268E"/>
    <w:rsid w:val="00F42F9C"/>
    <w:rsid w:val="00F432C3"/>
    <w:rsid w:val="00F44011"/>
    <w:rsid w:val="00F4556E"/>
    <w:rsid w:val="00F478D4"/>
    <w:rsid w:val="00F50146"/>
    <w:rsid w:val="00F5116C"/>
    <w:rsid w:val="00F51785"/>
    <w:rsid w:val="00F51C7C"/>
    <w:rsid w:val="00F52592"/>
    <w:rsid w:val="00F52A12"/>
    <w:rsid w:val="00F53377"/>
    <w:rsid w:val="00F53DE8"/>
    <w:rsid w:val="00F54199"/>
    <w:rsid w:val="00F54CD3"/>
    <w:rsid w:val="00F55698"/>
    <w:rsid w:val="00F56135"/>
    <w:rsid w:val="00F565B5"/>
    <w:rsid w:val="00F5684C"/>
    <w:rsid w:val="00F568C7"/>
    <w:rsid w:val="00F56CD1"/>
    <w:rsid w:val="00F571F1"/>
    <w:rsid w:val="00F5749A"/>
    <w:rsid w:val="00F574A6"/>
    <w:rsid w:val="00F57A58"/>
    <w:rsid w:val="00F60A6E"/>
    <w:rsid w:val="00F62EAB"/>
    <w:rsid w:val="00F635AD"/>
    <w:rsid w:val="00F63878"/>
    <w:rsid w:val="00F64AA6"/>
    <w:rsid w:val="00F6520A"/>
    <w:rsid w:val="00F653D9"/>
    <w:rsid w:val="00F656D3"/>
    <w:rsid w:val="00F65DFD"/>
    <w:rsid w:val="00F6638B"/>
    <w:rsid w:val="00F67450"/>
    <w:rsid w:val="00F70B0D"/>
    <w:rsid w:val="00F7174B"/>
    <w:rsid w:val="00F71C10"/>
    <w:rsid w:val="00F73126"/>
    <w:rsid w:val="00F733B8"/>
    <w:rsid w:val="00F73C0C"/>
    <w:rsid w:val="00F73CA5"/>
    <w:rsid w:val="00F74C82"/>
    <w:rsid w:val="00F75341"/>
    <w:rsid w:val="00F756F9"/>
    <w:rsid w:val="00F764CA"/>
    <w:rsid w:val="00F767EE"/>
    <w:rsid w:val="00F77A6A"/>
    <w:rsid w:val="00F77BB1"/>
    <w:rsid w:val="00F805AD"/>
    <w:rsid w:val="00F807CE"/>
    <w:rsid w:val="00F81844"/>
    <w:rsid w:val="00F81C13"/>
    <w:rsid w:val="00F823FC"/>
    <w:rsid w:val="00F82457"/>
    <w:rsid w:val="00F82897"/>
    <w:rsid w:val="00F83C62"/>
    <w:rsid w:val="00F840B6"/>
    <w:rsid w:val="00F84CD5"/>
    <w:rsid w:val="00F85C1A"/>
    <w:rsid w:val="00F86318"/>
    <w:rsid w:val="00F8708E"/>
    <w:rsid w:val="00F87246"/>
    <w:rsid w:val="00F873B7"/>
    <w:rsid w:val="00F87B5B"/>
    <w:rsid w:val="00F907E8"/>
    <w:rsid w:val="00F90FF2"/>
    <w:rsid w:val="00F9135D"/>
    <w:rsid w:val="00F91800"/>
    <w:rsid w:val="00F91A78"/>
    <w:rsid w:val="00F91D69"/>
    <w:rsid w:val="00F92524"/>
    <w:rsid w:val="00F92CF6"/>
    <w:rsid w:val="00F939A2"/>
    <w:rsid w:val="00F93F73"/>
    <w:rsid w:val="00F941BA"/>
    <w:rsid w:val="00F94578"/>
    <w:rsid w:val="00F952D1"/>
    <w:rsid w:val="00F9601C"/>
    <w:rsid w:val="00F96A7A"/>
    <w:rsid w:val="00F96F3A"/>
    <w:rsid w:val="00F9705B"/>
    <w:rsid w:val="00F97CFC"/>
    <w:rsid w:val="00F97F1A"/>
    <w:rsid w:val="00FA1A24"/>
    <w:rsid w:val="00FA288A"/>
    <w:rsid w:val="00FA2964"/>
    <w:rsid w:val="00FA303C"/>
    <w:rsid w:val="00FA497E"/>
    <w:rsid w:val="00FA5D11"/>
    <w:rsid w:val="00FA67DF"/>
    <w:rsid w:val="00FA6AE8"/>
    <w:rsid w:val="00FA72F9"/>
    <w:rsid w:val="00FA7402"/>
    <w:rsid w:val="00FB077A"/>
    <w:rsid w:val="00FB0E47"/>
    <w:rsid w:val="00FB1ECA"/>
    <w:rsid w:val="00FB22C8"/>
    <w:rsid w:val="00FB272C"/>
    <w:rsid w:val="00FB379B"/>
    <w:rsid w:val="00FB3F3B"/>
    <w:rsid w:val="00FB4990"/>
    <w:rsid w:val="00FB4DD6"/>
    <w:rsid w:val="00FB54A9"/>
    <w:rsid w:val="00FB54B1"/>
    <w:rsid w:val="00FB620E"/>
    <w:rsid w:val="00FB639B"/>
    <w:rsid w:val="00FB6E7F"/>
    <w:rsid w:val="00FC0E35"/>
    <w:rsid w:val="00FC1365"/>
    <w:rsid w:val="00FC2364"/>
    <w:rsid w:val="00FC23FC"/>
    <w:rsid w:val="00FC2EA9"/>
    <w:rsid w:val="00FC34DD"/>
    <w:rsid w:val="00FC3739"/>
    <w:rsid w:val="00FC3A68"/>
    <w:rsid w:val="00FC3CAC"/>
    <w:rsid w:val="00FC3EB4"/>
    <w:rsid w:val="00FC4844"/>
    <w:rsid w:val="00FC4CE5"/>
    <w:rsid w:val="00FC5905"/>
    <w:rsid w:val="00FC5DF4"/>
    <w:rsid w:val="00FC65A4"/>
    <w:rsid w:val="00FC6C3A"/>
    <w:rsid w:val="00FC6FAC"/>
    <w:rsid w:val="00FC785F"/>
    <w:rsid w:val="00FC7CD3"/>
    <w:rsid w:val="00FD006C"/>
    <w:rsid w:val="00FD08EF"/>
    <w:rsid w:val="00FD0904"/>
    <w:rsid w:val="00FD0DE7"/>
    <w:rsid w:val="00FD14E0"/>
    <w:rsid w:val="00FD1B74"/>
    <w:rsid w:val="00FD1CA1"/>
    <w:rsid w:val="00FD231C"/>
    <w:rsid w:val="00FD2337"/>
    <w:rsid w:val="00FD2770"/>
    <w:rsid w:val="00FD41D4"/>
    <w:rsid w:val="00FD4819"/>
    <w:rsid w:val="00FD4FC2"/>
    <w:rsid w:val="00FD5191"/>
    <w:rsid w:val="00FD53D1"/>
    <w:rsid w:val="00FD5E1F"/>
    <w:rsid w:val="00FD5FA5"/>
    <w:rsid w:val="00FD648E"/>
    <w:rsid w:val="00FD6B0E"/>
    <w:rsid w:val="00FE15D2"/>
    <w:rsid w:val="00FE29BA"/>
    <w:rsid w:val="00FE3327"/>
    <w:rsid w:val="00FE39F7"/>
    <w:rsid w:val="00FE3D02"/>
    <w:rsid w:val="00FE46AD"/>
    <w:rsid w:val="00FE4B12"/>
    <w:rsid w:val="00FE4E96"/>
    <w:rsid w:val="00FE54FA"/>
    <w:rsid w:val="00FE6317"/>
    <w:rsid w:val="00FE6A8C"/>
    <w:rsid w:val="00FE6CF6"/>
    <w:rsid w:val="00FE72B1"/>
    <w:rsid w:val="00FE79AA"/>
    <w:rsid w:val="00FF2709"/>
    <w:rsid w:val="00FF2B8F"/>
    <w:rsid w:val="00FF2D6E"/>
    <w:rsid w:val="00FF33F5"/>
    <w:rsid w:val="00FF3889"/>
    <w:rsid w:val="00FF3AFD"/>
    <w:rsid w:val="00FF47B9"/>
    <w:rsid w:val="00FF4DD7"/>
    <w:rsid w:val="00FF4EDA"/>
    <w:rsid w:val="00FF54B9"/>
    <w:rsid w:val="00FF5B75"/>
    <w:rsid w:val="00FF5B8D"/>
    <w:rsid w:val="00FF6284"/>
    <w:rsid w:val="00FF643C"/>
    <w:rsid w:val="00FF7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3BEA3"/>
  <w15:docId w15:val="{C78D6667-E394-4664-B95C-3B1AB922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character" w:customStyle="1" w:styleId="proofreader-typo">
    <w:name w:val="proofreader-typo"/>
    <w:basedOn w:val="DefaultParagraphFont"/>
    <w:rsid w:val="00C9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206258675">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016567921">
      <w:bodyDiv w:val="1"/>
      <w:marLeft w:val="0"/>
      <w:marRight w:val="0"/>
      <w:marTop w:val="0"/>
      <w:marBottom w:val="0"/>
      <w:divBdr>
        <w:top w:val="none" w:sz="0" w:space="0" w:color="auto"/>
        <w:left w:val="none" w:sz="0" w:space="0" w:color="auto"/>
        <w:bottom w:val="none" w:sz="0" w:space="0" w:color="auto"/>
        <w:right w:val="none" w:sz="0" w:space="0" w:color="auto"/>
      </w:divBdr>
      <w:divsChild>
        <w:div w:id="1001398554">
          <w:marLeft w:val="0"/>
          <w:marRight w:val="0"/>
          <w:marTop w:val="0"/>
          <w:marBottom w:val="0"/>
          <w:divBdr>
            <w:top w:val="none" w:sz="0" w:space="0" w:color="auto"/>
            <w:left w:val="none" w:sz="0" w:space="0" w:color="auto"/>
            <w:bottom w:val="none" w:sz="0" w:space="0" w:color="auto"/>
            <w:right w:val="none" w:sz="0" w:space="0" w:color="auto"/>
          </w:divBdr>
        </w:div>
      </w:divsChild>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ck.loughrey\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4C6942FD46E14EA729865F24B8B1D0" ma:contentTypeVersion="10" ma:contentTypeDescription="Create a new document." ma:contentTypeScope="" ma:versionID="f0473a54c0f0534e8925176e8428bc4c">
  <xsd:schema xmlns:xsd="http://www.w3.org/2001/XMLSchema" xmlns:xs="http://www.w3.org/2001/XMLSchema" xmlns:p="http://schemas.microsoft.com/office/2006/metadata/properties" xmlns:ns2="2526e2b6-cea0-4210-9c08-92e1d8124d23" xmlns:ns3="20d559a4-e6e1-42f3-8f89-d8b51101bc1c" targetNamespace="http://schemas.microsoft.com/office/2006/metadata/properties" ma:root="true" ma:fieldsID="7446686360227696da3f4edc667ab460" ns2:_="" ns3:_="">
    <xsd:import namespace="2526e2b6-cea0-4210-9c08-92e1d8124d23"/>
    <xsd:import namespace="20d559a4-e6e1-42f3-8f89-d8b51101bc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6e2b6-cea0-4210-9c08-92e1d8124d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d559a4-e6e1-42f3-8f89-d8b51101bc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697458D-4896-4842-B25B-37CE14A2B95C}">
  <ds:schemaRefs>
    <ds:schemaRef ds:uri="http://schemas.microsoft.com/sharepoint/v3/contenttype/forms"/>
  </ds:schemaRefs>
</ds:datastoreItem>
</file>

<file path=customXml/itemProps2.xml><?xml version="1.0" encoding="utf-8"?>
<ds:datastoreItem xmlns:ds="http://schemas.openxmlformats.org/officeDocument/2006/customXml" ds:itemID="{6EBACBE1-B0C8-4055-8B0F-2976C2CFA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6e2b6-cea0-4210-9c08-92e1d8124d23"/>
    <ds:schemaRef ds:uri="20d559a4-e6e1-42f3-8f89-d8b51101b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4.xml><?xml version="1.0" encoding="utf-8"?>
<ds:datastoreItem xmlns:ds="http://schemas.openxmlformats.org/officeDocument/2006/customXml" ds:itemID="{EAE4DFE7-CFE1-4E52-80FC-43E950FEA5C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889B9EB-08F8-4538-83AB-3345ACE0A78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Stakeholder Submissions Template</Template>
  <TotalTime>1</TotalTime>
  <Pages>12</Pages>
  <Words>2437</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16298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Patrick Loughrey</dc:creator>
  <cp:lastModifiedBy>James Tyrrell</cp:lastModifiedBy>
  <cp:revision>2</cp:revision>
  <cp:lastPrinted>2016-04-17T05:54:00Z</cp:lastPrinted>
  <dcterms:created xsi:type="dcterms:W3CDTF">2021-10-19T03:16:00Z</dcterms:created>
  <dcterms:modified xsi:type="dcterms:W3CDTF">2021-10-19T03:16:00Z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0x0101001A4C6942FD46E14EA729865F24B8B1D0</vt:lpwstr>
  </property>
</Properties>
</file>