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D3DA4" w14:textId="4705E075" w:rsidR="00866772" w:rsidRPr="00866772" w:rsidRDefault="00866772" w:rsidP="008667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Submission – ERC0410</w:t>
      </w:r>
    </w:p>
    <w:p w14:paraId="574289D4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Enhancing Distribution Network Planning &amp; Reporting</w:t>
      </w:r>
    </w:p>
    <w:p w14:paraId="2EAE6E45" w14:textId="42369FE8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To: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 Australian Energy Market Commission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From: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Paul Hurley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Date: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>24/04/2026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Reference: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 ERC0410</w:t>
      </w:r>
    </w:p>
    <w:p w14:paraId="74C92840" w14:textId="77777777" w:rsidR="00866772" w:rsidRPr="00866772" w:rsidRDefault="00866772" w:rsidP="0086677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pict w14:anchorId="288DF998">
          <v:rect id="_x0000_i1043" style="width:0;height:1.5pt" o:hralign="center" o:hrstd="t" o:hr="t" fillcolor="#a0a0a0" stroked="f"/>
        </w:pict>
      </w:r>
    </w:p>
    <w:p w14:paraId="641A21A0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I am a Queensland homeowner who has recently invested in battery storage to support the energy transition, and I am concerned about how the proposed rule changes may affect the value of that investment.</w:t>
      </w:r>
    </w:p>
    <w:p w14:paraId="5988D310" w14:textId="77777777" w:rsidR="00866772" w:rsidRPr="00866772" w:rsidRDefault="00866772" w:rsidP="0086677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pict w14:anchorId="69AD141B">
          <v:rect id="_x0000_i1044" style="width:0;height:1.5pt" o:hralign="center" o:hrstd="t" o:hr="t" fillcolor="#a0a0a0" stroked="f"/>
        </w:pict>
      </w:r>
    </w:p>
    <w:p w14:paraId="7115E1C7" w14:textId="77777777" w:rsidR="00866772" w:rsidRPr="00866772" w:rsidRDefault="00866772" w:rsidP="008667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1. Introduction</w:t>
      </w:r>
    </w:p>
    <w:p w14:paraId="6F838EBE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I am a residential electricity consumer in Queensland with a long-standing investment in rooftop solar and a recent investment in battery storage.</w:t>
      </w:r>
    </w:p>
    <w:p w14:paraId="25080E2E" w14:textId="77777777" w:rsidR="00866772" w:rsidRPr="00866772" w:rsidRDefault="00866772" w:rsidP="0086677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My solar system (2.8 kW) has been in operation for over 20 years and continues to perform effectively. </w:t>
      </w:r>
    </w:p>
    <w:p w14:paraId="4114B7A1" w14:textId="77777777" w:rsidR="00866772" w:rsidRPr="00866772" w:rsidRDefault="00866772" w:rsidP="0086677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In [year], I invested </w:t>
      </w: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$13,490 (supply and installation)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 in a home battery system (</w:t>
      </w:r>
      <w:proofErr w:type="spellStart"/>
      <w:r w:rsidRPr="00866772">
        <w:rPr>
          <w:rFonts w:ascii="Times New Roman" w:eastAsia="Times New Roman" w:hAnsi="Times New Roman" w:cs="Times New Roman"/>
          <w:kern w:val="0"/>
          <w14:ligatures w14:val="none"/>
        </w:rPr>
        <w:t>GoodWe</w:t>
      </w:r>
      <w:proofErr w:type="spellEnd"/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 inverter and Lynx D G2 batteries), partly supported by an Australian government subsidy intended to encourage uptake of consumer energy resources (CER). </w:t>
      </w:r>
    </w:p>
    <w:p w14:paraId="52D568D0" w14:textId="77777777" w:rsidR="00866772" w:rsidRPr="00866772" w:rsidRDefault="00866772" w:rsidP="00866772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The battery system has a </w:t>
      </w: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rated usable capacity of approximately 48 kWh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6022DEC9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I am writing to express my opposition to the draft rule </w:t>
      </w:r>
      <w:r w:rsidRPr="0086677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Enhancing distribution network planning &amp; reporting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 (ERC0410), particularly due to concerns about the impact of </w:t>
      </w: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dynamic export limits and associated pricing changes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 on consumers like myself.</w:t>
      </w:r>
    </w:p>
    <w:p w14:paraId="34C99C16" w14:textId="77777777" w:rsidR="00866772" w:rsidRPr="00866772" w:rsidRDefault="00866772" w:rsidP="0086677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pict w14:anchorId="2FE9527C">
          <v:rect id="_x0000_i1045" style="width:0;height:1.5pt" o:hralign="center" o:hrstd="t" o:hr="t" fillcolor="#a0a0a0" stroked="f"/>
        </w:pict>
      </w:r>
    </w:p>
    <w:p w14:paraId="3575D461" w14:textId="77777777" w:rsidR="00866772" w:rsidRPr="00866772" w:rsidRDefault="00866772" w:rsidP="008667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2. Investment Decisions Were Made Under Existing Policy Signals</w:t>
      </w:r>
    </w:p>
    <w:p w14:paraId="046165A8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My decision to invest in battery storage was influenced by:</w:t>
      </w:r>
    </w:p>
    <w:p w14:paraId="27859E65" w14:textId="77777777" w:rsidR="00866772" w:rsidRPr="00866772" w:rsidRDefault="00866772" w:rsidP="0086677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Government incentives promoting battery uptake </w:t>
      </w:r>
    </w:p>
    <w:p w14:paraId="4C1A63A7" w14:textId="77777777" w:rsidR="00866772" w:rsidRPr="00866772" w:rsidRDefault="00866772" w:rsidP="0086677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Policy messaging encouraging households to support the energy transition </w:t>
      </w:r>
    </w:p>
    <w:p w14:paraId="2B6DEB24" w14:textId="77777777" w:rsidR="00866772" w:rsidRPr="00866772" w:rsidRDefault="00866772" w:rsidP="00866772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The expectation that distributed energy resources would be supported as part of the future energy system </w:t>
      </w:r>
    </w:p>
    <w:p w14:paraId="32E28604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The draft determination itself </w:t>
      </w:r>
      <w:proofErr w:type="spellStart"/>
      <w:r w:rsidRPr="00866772">
        <w:rPr>
          <w:rFonts w:ascii="Times New Roman" w:eastAsia="Times New Roman" w:hAnsi="Times New Roman" w:cs="Times New Roman"/>
          <w:kern w:val="0"/>
          <w14:ligatures w14:val="none"/>
        </w:rPr>
        <w:t>recognises</w:t>
      </w:r>
      <w:proofErr w:type="spellEnd"/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 that consumer energy resources are expected to play a significant and growing role in the electricity system, and that network planning frameworks need to evolve accordingly.</w:t>
      </w:r>
    </w:p>
    <w:p w14:paraId="373C1B4C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While my decision was not purely financial, </w:t>
      </w: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financial viability was still a key consideration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, and the investment was borderline even with available incentives.</w:t>
      </w:r>
    </w:p>
    <w:p w14:paraId="17F01644" w14:textId="77777777" w:rsidR="00866772" w:rsidRPr="00866772" w:rsidRDefault="00866772" w:rsidP="0086677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pict w14:anchorId="250E307F">
          <v:rect id="_x0000_i1046" style="width:0;height:1.5pt" o:hralign="center" o:hrstd="t" o:hr="t" fillcolor="#a0a0a0" stroked="f"/>
        </w:pict>
      </w:r>
    </w:p>
    <w:p w14:paraId="7092F881" w14:textId="77777777" w:rsidR="00866772" w:rsidRPr="00866772" w:rsidRDefault="00866772" w:rsidP="008667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3. Concern: Changes May Reduce the Value of Existing Investments</w:t>
      </w:r>
    </w:p>
    <w:p w14:paraId="515469D8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The draft rule proposes changes intended to improve how distribution networks plan for and integrate CER, including better visibility and more flexible operational approaches.</w:t>
      </w:r>
    </w:p>
    <w:p w14:paraId="2E6D5C69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However, in practice, these changes may enable:</w:t>
      </w:r>
    </w:p>
    <w:p w14:paraId="347EF2ED" w14:textId="77777777" w:rsidR="00866772" w:rsidRPr="00866772" w:rsidRDefault="00866772" w:rsidP="0086677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Increased reliance on </w:t>
      </w: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dynamic export limits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, and </w:t>
      </w:r>
    </w:p>
    <w:p w14:paraId="053A2C38" w14:textId="77777777" w:rsidR="00866772" w:rsidRPr="00866772" w:rsidRDefault="00866772" w:rsidP="00866772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Network pricing or access arrangements that reduce the value of exported energy </w:t>
      </w:r>
    </w:p>
    <w:p w14:paraId="23BF03B6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The draft determination </w:t>
      </w:r>
      <w:proofErr w:type="spellStart"/>
      <w:r w:rsidRPr="00866772">
        <w:rPr>
          <w:rFonts w:ascii="Times New Roman" w:eastAsia="Times New Roman" w:hAnsi="Times New Roman" w:cs="Times New Roman"/>
          <w:kern w:val="0"/>
          <w14:ligatures w14:val="none"/>
        </w:rPr>
        <w:t>emphasises</w:t>
      </w:r>
      <w:proofErr w:type="spellEnd"/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 improving efficiency and flexibility in network </w:t>
      </w:r>
      <w:proofErr w:type="spellStart"/>
      <w:r w:rsidRPr="00866772">
        <w:rPr>
          <w:rFonts w:ascii="Times New Roman" w:eastAsia="Times New Roman" w:hAnsi="Times New Roman" w:cs="Times New Roman"/>
          <w:kern w:val="0"/>
          <w14:ligatures w14:val="none"/>
        </w:rPr>
        <w:t>utilisation</w:t>
      </w:r>
      <w:proofErr w:type="spellEnd"/>
      <w:r w:rsidRPr="00866772">
        <w:rPr>
          <w:rFonts w:ascii="Times New Roman" w:eastAsia="Times New Roman" w:hAnsi="Times New Roman" w:cs="Times New Roman"/>
          <w:kern w:val="0"/>
          <w14:ligatures w14:val="none"/>
        </w:rPr>
        <w:t>, but from a consumer perspective, this may translate into:</w:t>
      </w:r>
    </w:p>
    <w:p w14:paraId="71FE2CC3" w14:textId="77777777" w:rsidR="00866772" w:rsidRPr="00866772" w:rsidRDefault="00866772" w:rsidP="0086677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Reduced ability to export energy when it is most valuable </w:t>
      </w:r>
    </w:p>
    <w:p w14:paraId="3F083844" w14:textId="77777777" w:rsidR="00866772" w:rsidRPr="00866772" w:rsidRDefault="00866772" w:rsidP="0086677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Increased uncertainty about future returns </w:t>
      </w:r>
    </w:p>
    <w:p w14:paraId="39635342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This creates a real risk that consumers who have already invested in CER will experience reduced value from those investments.</w:t>
      </w:r>
    </w:p>
    <w:p w14:paraId="327DDA8D" w14:textId="77777777" w:rsidR="00866772" w:rsidRPr="00866772" w:rsidRDefault="00866772" w:rsidP="0086677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pict w14:anchorId="2C673C9F">
          <v:rect id="_x0000_i1047" style="width:0;height:1.5pt" o:hralign="center" o:hrstd="t" o:hr="t" fillcolor="#a0a0a0" stroked="f"/>
        </w:pict>
      </w:r>
    </w:p>
    <w:p w14:paraId="21362951" w14:textId="77777777" w:rsidR="00866772" w:rsidRPr="00866772" w:rsidRDefault="00866772" w:rsidP="008667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4. Evidence of Potential Financial Impact</w:t>
      </w:r>
    </w:p>
    <w:p w14:paraId="35DBD6F4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Public commentary suggests that the financial impact on households could be significant.</w:t>
      </w:r>
    </w:p>
    <w:p w14:paraId="4DD20FE7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Reporting in Brisbane Times (23 April 2026) cited analysis from Tristan Edis of Green Energy Markets, indicating:</w:t>
      </w:r>
    </w:p>
    <w:p w14:paraId="0EB8F2C7" w14:textId="77777777" w:rsidR="00866772" w:rsidRPr="00866772" w:rsidRDefault="00866772" w:rsidP="00866772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Higher fixed network charges could increase lifetime electricity costs by </w:t>
      </w:r>
    </w:p>
    <w:p w14:paraId="6846784F" w14:textId="77777777" w:rsidR="00866772" w:rsidRPr="00866772" w:rsidRDefault="00866772" w:rsidP="00866772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around </w:t>
      </w: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$6,000 in Melbourne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, and </w:t>
      </w:r>
    </w:p>
    <w:p w14:paraId="72825B7E" w14:textId="77777777" w:rsidR="00866772" w:rsidRPr="00866772" w:rsidRDefault="00866772" w:rsidP="00866772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around </w:t>
      </w: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$8,500 in Sydney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for a household with solar and battery over 15 years </w:t>
      </w:r>
    </w:p>
    <w:p w14:paraId="0DFCE717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The same analysis suggested that such changes could substantially reduce or offset the value of government battery incentives.</w:t>
      </w:r>
    </w:p>
    <w:p w14:paraId="3A3A09A4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While I understand these figures are based on different assumptions and locations, they demonstrate a </w:t>
      </w: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credible risk of material financial impact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F909977" w14:textId="77777777" w:rsidR="00866772" w:rsidRPr="00866772" w:rsidRDefault="00866772" w:rsidP="0086677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pict w14:anchorId="0F8D7A5A">
          <v:rect id="_x0000_i1048" style="width:0;height:1.5pt" o:hralign="center" o:hrstd="t" o:hr="t" fillcolor="#a0a0a0" stroked="f"/>
        </w:pict>
      </w:r>
    </w:p>
    <w:p w14:paraId="495C4F9C" w14:textId="77777777" w:rsidR="00866772" w:rsidRPr="00866772" w:rsidRDefault="00866772" w:rsidP="008667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5. Impact on Consumer Confidence</w:t>
      </w:r>
    </w:p>
    <w:p w14:paraId="7566E44B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The draft determination highlights the importance of integrating CER efficiently into the electricity system.</w:t>
      </w:r>
    </w:p>
    <w:p w14:paraId="0750FC2C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However, it does not appear to sufficiently address how changes will affect consumers who have already made investments under earlier policy settings.</w:t>
      </w:r>
    </w:p>
    <w:p w14:paraId="48E6DF41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Households like mine have:</w:t>
      </w:r>
    </w:p>
    <w:p w14:paraId="5C0F8E16" w14:textId="77777777" w:rsidR="00866772" w:rsidRPr="00866772" w:rsidRDefault="00866772" w:rsidP="0086677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Invested significant personal funds </w:t>
      </w:r>
    </w:p>
    <w:p w14:paraId="5BCADB26" w14:textId="77777777" w:rsidR="00866772" w:rsidRPr="00866772" w:rsidRDefault="00866772" w:rsidP="0086677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Taken on financial and technological risk </w:t>
      </w:r>
    </w:p>
    <w:p w14:paraId="104635FF" w14:textId="77777777" w:rsidR="00866772" w:rsidRPr="00866772" w:rsidRDefault="00866772" w:rsidP="00866772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Acted in response to government encouragement </w:t>
      </w:r>
    </w:p>
    <w:p w14:paraId="70922E68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If the regulatory framework changes in a way that reduces the value of these investments, it risks:</w:t>
      </w:r>
    </w:p>
    <w:p w14:paraId="330B4385" w14:textId="77777777" w:rsidR="00866772" w:rsidRPr="00866772" w:rsidRDefault="00866772" w:rsidP="0086677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Undermining trust in future government programs </w:t>
      </w:r>
    </w:p>
    <w:p w14:paraId="522A02FB" w14:textId="77777777" w:rsidR="00866772" w:rsidRPr="00866772" w:rsidRDefault="00866772" w:rsidP="0086677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Discouraging further uptake of solar and batteries </w:t>
      </w:r>
    </w:p>
    <w:p w14:paraId="30C143D5" w14:textId="77777777" w:rsidR="00866772" w:rsidRPr="00866772" w:rsidRDefault="00866772" w:rsidP="0086677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Reducing participation in the energy transition </w:t>
      </w:r>
    </w:p>
    <w:p w14:paraId="01540465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This is particularly important given the role of consumers identified by the Australian Energy Market Operator in long-term system planning.</w:t>
      </w:r>
    </w:p>
    <w:p w14:paraId="0F394B25" w14:textId="77777777" w:rsidR="00866772" w:rsidRPr="00866772" w:rsidRDefault="00866772" w:rsidP="0086677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pict w14:anchorId="419B9953">
          <v:rect id="_x0000_i1049" style="width:0;height:1.5pt" o:hralign="center" o:hrstd="t" o:hr="t" fillcolor="#a0a0a0" stroked="f"/>
        </w:pict>
      </w:r>
    </w:p>
    <w:p w14:paraId="2404839D" w14:textId="77777777" w:rsidR="00866772" w:rsidRPr="00866772" w:rsidRDefault="00866772" w:rsidP="008667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6. Personal Impact</w:t>
      </w:r>
    </w:p>
    <w:p w14:paraId="5C39F3B7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My household invested </w:t>
      </w: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$13,490</w:t>
      </w: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 in battery storage with the understanding that:</w:t>
      </w:r>
    </w:p>
    <w:p w14:paraId="3647953A" w14:textId="77777777" w:rsidR="00866772" w:rsidRPr="00866772" w:rsidRDefault="00866772" w:rsidP="0086677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The regulatory environment would remain broadly supportive, or </w:t>
      </w:r>
    </w:p>
    <w:p w14:paraId="733496DA" w14:textId="77777777" w:rsidR="00866772" w:rsidRPr="00866772" w:rsidRDefault="00866772" w:rsidP="0086677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At minimum, would not materially reduce the value of the investment </w:t>
      </w:r>
    </w:p>
    <w:p w14:paraId="438C1FA8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If export limitations or pricing changes significantly reduce the financial benefit of my system, this will:</w:t>
      </w:r>
    </w:p>
    <w:p w14:paraId="71A7509C" w14:textId="77777777" w:rsidR="00866772" w:rsidRPr="00866772" w:rsidRDefault="00866772" w:rsidP="0086677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Extend the payback period </w:t>
      </w:r>
    </w:p>
    <w:p w14:paraId="3ACC760B" w14:textId="77777777" w:rsidR="00866772" w:rsidRPr="00866772" w:rsidRDefault="00866772" w:rsidP="0086677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Reduce the return on investment </w:t>
      </w:r>
    </w:p>
    <w:p w14:paraId="50D96A1F" w14:textId="77777777" w:rsidR="00866772" w:rsidRPr="00866772" w:rsidRDefault="00866772" w:rsidP="00866772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Influence my decision on whether to proceed with a planned expansion of my solar system </w:t>
      </w:r>
    </w:p>
    <w:p w14:paraId="3FC91734" w14:textId="77777777" w:rsidR="00866772" w:rsidRPr="00866772" w:rsidRDefault="00866772" w:rsidP="0086677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pict w14:anchorId="0955DBB3">
          <v:rect id="_x0000_i1050" style="width:0;height:1.5pt" o:hralign="center" o:hrstd="t" o:hr="t" fillcolor="#a0a0a0" stroked="f"/>
        </w:pict>
      </w:r>
    </w:p>
    <w:p w14:paraId="208C0DF8" w14:textId="77777777" w:rsidR="00866772" w:rsidRPr="00866772" w:rsidRDefault="00866772" w:rsidP="008667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7. Key Concern: Dynamic Export Limits</w:t>
      </w:r>
    </w:p>
    <w:p w14:paraId="3800A209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The draft rule supports more dynamic and flexible approaches to managing network constraints.</w:t>
      </w:r>
    </w:p>
    <w:p w14:paraId="0B54FCED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While I understand the technical rationale for this, my concern is how it affects consumers in practice.</w:t>
      </w:r>
    </w:p>
    <w:p w14:paraId="5677D8C7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Dynamic export limits may:</w:t>
      </w:r>
    </w:p>
    <w:p w14:paraId="4EC42B79" w14:textId="77777777" w:rsidR="00866772" w:rsidRPr="00866772" w:rsidRDefault="00866772" w:rsidP="0086677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Reduce export capacity at times of high solar generation </w:t>
      </w:r>
    </w:p>
    <w:p w14:paraId="56C4B159" w14:textId="77777777" w:rsidR="00866772" w:rsidRPr="00866772" w:rsidRDefault="00866772" w:rsidP="0086677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Introduce uncertainty that cannot be easily managed by consumers </w:t>
      </w:r>
    </w:p>
    <w:p w14:paraId="52D48EDA" w14:textId="77777777" w:rsidR="00866772" w:rsidRPr="00866772" w:rsidRDefault="00866772" w:rsidP="00866772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Limit the ability to </w:t>
      </w:r>
      <w:proofErr w:type="spellStart"/>
      <w:r w:rsidRPr="00866772">
        <w:rPr>
          <w:rFonts w:ascii="Times New Roman" w:eastAsia="Times New Roman" w:hAnsi="Times New Roman" w:cs="Times New Roman"/>
          <w:kern w:val="0"/>
          <w14:ligatures w14:val="none"/>
        </w:rPr>
        <w:t>realise</w:t>
      </w:r>
      <w:proofErr w:type="spellEnd"/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 the expected value of installed systems </w:t>
      </w:r>
    </w:p>
    <w:p w14:paraId="3F793423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For consumers who have already made significant upfront investments, this creates a level of uncertainty that did not exist at the time those decisions were made.</w:t>
      </w:r>
    </w:p>
    <w:p w14:paraId="27D1EE9E" w14:textId="77777777" w:rsidR="00866772" w:rsidRPr="00866772" w:rsidRDefault="00866772" w:rsidP="0086677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pict w14:anchorId="3DDA0DA3">
          <v:rect id="_x0000_i1051" style="width:0;height:1.5pt" o:hralign="center" o:hrstd="t" o:hr="t" fillcolor="#a0a0a0" stroked="f"/>
        </w:pict>
      </w:r>
    </w:p>
    <w:p w14:paraId="3BBBFD50" w14:textId="77777777" w:rsidR="00866772" w:rsidRPr="00866772" w:rsidRDefault="00866772" w:rsidP="008667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8. Recommendations</w:t>
      </w:r>
    </w:p>
    <w:p w14:paraId="35F1BEB4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I respectfully request that the Commission:</w:t>
      </w:r>
    </w:p>
    <w:p w14:paraId="162DD4A9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1. Protect existing investments</w:t>
      </w:r>
    </w:p>
    <w:p w14:paraId="774425FE" w14:textId="77777777" w:rsidR="00866772" w:rsidRPr="00866772" w:rsidRDefault="00866772" w:rsidP="00866772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Include safeguards or transitional arrangements for current CER owners </w:t>
      </w:r>
    </w:p>
    <w:p w14:paraId="0C726FDF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2. Strengthen consumer impact assessment</w:t>
      </w:r>
    </w:p>
    <w:p w14:paraId="1D3A7563" w14:textId="77777777" w:rsidR="00866772" w:rsidRPr="00866772" w:rsidRDefault="00866772" w:rsidP="0086677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Explicitly assess how proposed changes affect households with existing solar and battery systems </w:t>
      </w:r>
    </w:p>
    <w:p w14:paraId="66B6135B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3. Improve transparency and predictability</w:t>
      </w:r>
    </w:p>
    <w:p w14:paraId="72117355" w14:textId="77777777" w:rsidR="00866772" w:rsidRPr="00866772" w:rsidRDefault="00866772" w:rsidP="0086677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Provide clear guidance on how export limits and pricing arrangements may evolve </w:t>
      </w:r>
    </w:p>
    <w:p w14:paraId="22826596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4. Ensure consistency with policy intent</w:t>
      </w:r>
    </w:p>
    <w:p w14:paraId="7F7FFFEF" w14:textId="77777777" w:rsidR="00866772" w:rsidRPr="00866772" w:rsidRDefault="00866772" w:rsidP="0086677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Align the rule with government programs designed to encourage CER uptake </w:t>
      </w:r>
    </w:p>
    <w:p w14:paraId="6C8A68DC" w14:textId="77777777" w:rsidR="00866772" w:rsidRPr="00866772" w:rsidRDefault="00866772" w:rsidP="00866772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pict w14:anchorId="7149F51D">
          <v:rect id="_x0000_i1052" style="width:0;height:1.5pt" o:hralign="center" o:hrstd="t" o:hr="t" fillcolor="#a0a0a0" stroked="f"/>
        </w:pict>
      </w:r>
    </w:p>
    <w:p w14:paraId="758F983C" w14:textId="77777777" w:rsidR="006C4ECC" w:rsidRDefault="006C4ECC">
      <w:pP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br w:type="page"/>
      </w:r>
    </w:p>
    <w:p w14:paraId="14E5B5A3" w14:textId="456CAF58" w:rsidR="00866772" w:rsidRPr="00866772" w:rsidRDefault="00866772" w:rsidP="008667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>9. Conclusion</w:t>
      </w:r>
    </w:p>
    <w:p w14:paraId="4B75EF7A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I support the </w:t>
      </w:r>
      <w:proofErr w:type="spellStart"/>
      <w:r w:rsidRPr="00866772">
        <w:rPr>
          <w:rFonts w:ascii="Times New Roman" w:eastAsia="Times New Roman" w:hAnsi="Times New Roman" w:cs="Times New Roman"/>
          <w:kern w:val="0"/>
          <w14:ligatures w14:val="none"/>
        </w:rPr>
        <w:t>modernisation</w:t>
      </w:r>
      <w:proofErr w:type="spellEnd"/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 of the electricity system and </w:t>
      </w:r>
      <w:proofErr w:type="spellStart"/>
      <w:r w:rsidRPr="00866772">
        <w:rPr>
          <w:rFonts w:ascii="Times New Roman" w:eastAsia="Times New Roman" w:hAnsi="Times New Roman" w:cs="Times New Roman"/>
          <w:kern w:val="0"/>
          <w14:ligatures w14:val="none"/>
        </w:rPr>
        <w:t>recognise</w:t>
      </w:r>
      <w:proofErr w:type="spellEnd"/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 the need to adapt to increasing levels of consumer energy resources.</w:t>
      </w:r>
    </w:p>
    <w:p w14:paraId="0670FD2E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However, this must be done in a way that:</w:t>
      </w:r>
    </w:p>
    <w:p w14:paraId="37AD89BB" w14:textId="77777777" w:rsidR="00866772" w:rsidRPr="00866772" w:rsidRDefault="00866772" w:rsidP="0086677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Respects prior consumer investment </w:t>
      </w:r>
    </w:p>
    <w:p w14:paraId="1789915E" w14:textId="77777777" w:rsidR="00866772" w:rsidRPr="00866772" w:rsidRDefault="00866772" w:rsidP="0086677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Maintains confidence in government policy </w:t>
      </w:r>
    </w:p>
    <w:p w14:paraId="139A931A" w14:textId="77777777" w:rsidR="00866772" w:rsidRPr="00866772" w:rsidRDefault="00866772" w:rsidP="00866772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 xml:space="preserve">Supports continued participation in the energy transition </w:t>
      </w:r>
    </w:p>
    <w:p w14:paraId="2C09F8A8" w14:textId="77777777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kern w:val="0"/>
          <w14:ligatures w14:val="none"/>
        </w:rPr>
        <w:t>The draft rule, as currently proposed, raises concerns in these areas and should be reconsidered or amended accordingly.</w:t>
      </w:r>
    </w:p>
    <w:p w14:paraId="1594FEF4" w14:textId="2A7C6AE1" w:rsidR="00866772" w:rsidRPr="00866772" w:rsidRDefault="00866772" w:rsidP="008667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6677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As an individual household that has already committed significant personal funds to support the energy transition, I ask that my experience be considered as part of ensuring that future policy changes do not unintentionally disadvantage consumers who have acted in good faith.</w:t>
      </w:r>
      <w:r w:rsidR="006C4EC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</w:r>
      <w:r w:rsidR="006C4EC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</w:r>
      <w:r w:rsidR="006C4ECC" w:rsidRPr="006C4ECC">
        <w:rPr>
          <w:rFonts w:ascii="Times New Roman" w:eastAsia="Times New Roman" w:hAnsi="Times New Roman" w:cs="Times New Roman"/>
          <w:kern w:val="0"/>
          <w14:ligatures w14:val="none"/>
        </w:rPr>
        <w:t>Submitted by:</w:t>
      </w:r>
      <w:r w:rsidR="006C4ECC" w:rsidRPr="006C4ECC">
        <w:rPr>
          <w:rFonts w:ascii="Times New Roman" w:eastAsia="Times New Roman" w:hAnsi="Times New Roman" w:cs="Times New Roman"/>
          <w:kern w:val="0"/>
          <w14:ligatures w14:val="none"/>
        </w:rPr>
        <w:br/>
        <w:t>Paul Hurley</w:t>
      </w:r>
      <w:r w:rsidR="006C4ECC" w:rsidRPr="006C4ECC">
        <w:rPr>
          <w:rFonts w:ascii="Times New Roman" w:eastAsia="Times New Roman" w:hAnsi="Times New Roman" w:cs="Times New Roman"/>
          <w:kern w:val="0"/>
          <w14:ligatures w14:val="none"/>
        </w:rPr>
        <w:br/>
        <w:t>Residential electricity consumer, Queensland</w:t>
      </w:r>
    </w:p>
    <w:p w14:paraId="4B5A7C2A" w14:textId="77777777" w:rsidR="005962F7" w:rsidRDefault="005962F7"/>
    <w:sectPr w:rsidR="005962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D67FF"/>
    <w:multiLevelType w:val="multilevel"/>
    <w:tmpl w:val="E6E0B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752BE"/>
    <w:multiLevelType w:val="multilevel"/>
    <w:tmpl w:val="298AF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A27248"/>
    <w:multiLevelType w:val="multilevel"/>
    <w:tmpl w:val="EC18E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4E1E9A"/>
    <w:multiLevelType w:val="multilevel"/>
    <w:tmpl w:val="59548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840999"/>
    <w:multiLevelType w:val="multilevel"/>
    <w:tmpl w:val="BA4A3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652BE7"/>
    <w:multiLevelType w:val="multilevel"/>
    <w:tmpl w:val="0284F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AF15D0"/>
    <w:multiLevelType w:val="multilevel"/>
    <w:tmpl w:val="FCF61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BB4D25"/>
    <w:multiLevelType w:val="multilevel"/>
    <w:tmpl w:val="83386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9F57FE"/>
    <w:multiLevelType w:val="multilevel"/>
    <w:tmpl w:val="C40EE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B43FC4"/>
    <w:multiLevelType w:val="multilevel"/>
    <w:tmpl w:val="246A3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AF6A9E"/>
    <w:multiLevelType w:val="multilevel"/>
    <w:tmpl w:val="D9423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B476A0"/>
    <w:multiLevelType w:val="multilevel"/>
    <w:tmpl w:val="590C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C1438B"/>
    <w:multiLevelType w:val="multilevel"/>
    <w:tmpl w:val="C958E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382C85"/>
    <w:multiLevelType w:val="multilevel"/>
    <w:tmpl w:val="4C72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485495"/>
    <w:multiLevelType w:val="multilevel"/>
    <w:tmpl w:val="5F4A0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521AC9"/>
    <w:multiLevelType w:val="multilevel"/>
    <w:tmpl w:val="7D2C7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130CAC"/>
    <w:multiLevelType w:val="multilevel"/>
    <w:tmpl w:val="B1CA1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BD0DFD"/>
    <w:multiLevelType w:val="multilevel"/>
    <w:tmpl w:val="B470A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E43601"/>
    <w:multiLevelType w:val="multilevel"/>
    <w:tmpl w:val="21B0A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CD3B28"/>
    <w:multiLevelType w:val="multilevel"/>
    <w:tmpl w:val="6DA6F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DA2251"/>
    <w:multiLevelType w:val="multilevel"/>
    <w:tmpl w:val="53369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DF67C8"/>
    <w:multiLevelType w:val="multilevel"/>
    <w:tmpl w:val="57282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C06971"/>
    <w:multiLevelType w:val="multilevel"/>
    <w:tmpl w:val="E0188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AE68BA"/>
    <w:multiLevelType w:val="multilevel"/>
    <w:tmpl w:val="D61EF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FE9107D"/>
    <w:multiLevelType w:val="multilevel"/>
    <w:tmpl w:val="8D127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461074A"/>
    <w:multiLevelType w:val="multilevel"/>
    <w:tmpl w:val="ADF66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896B5D"/>
    <w:multiLevelType w:val="multilevel"/>
    <w:tmpl w:val="43C8A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173C05"/>
    <w:multiLevelType w:val="multilevel"/>
    <w:tmpl w:val="756AC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932390C"/>
    <w:multiLevelType w:val="multilevel"/>
    <w:tmpl w:val="6F962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1E1B6E"/>
    <w:multiLevelType w:val="multilevel"/>
    <w:tmpl w:val="F654B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0245912">
    <w:abstractNumId w:val="15"/>
  </w:num>
  <w:num w:numId="2" w16cid:durableId="425728758">
    <w:abstractNumId w:val="18"/>
  </w:num>
  <w:num w:numId="3" w16cid:durableId="360397854">
    <w:abstractNumId w:val="26"/>
  </w:num>
  <w:num w:numId="4" w16cid:durableId="2071339039">
    <w:abstractNumId w:val="0"/>
  </w:num>
  <w:num w:numId="5" w16cid:durableId="2046441152">
    <w:abstractNumId w:val="29"/>
  </w:num>
  <w:num w:numId="6" w16cid:durableId="80954585">
    <w:abstractNumId w:val="10"/>
  </w:num>
  <w:num w:numId="7" w16cid:durableId="469177196">
    <w:abstractNumId w:val="24"/>
  </w:num>
  <w:num w:numId="8" w16cid:durableId="178930150">
    <w:abstractNumId w:val="17"/>
  </w:num>
  <w:num w:numId="9" w16cid:durableId="1660383985">
    <w:abstractNumId w:val="23"/>
  </w:num>
  <w:num w:numId="10" w16cid:durableId="778568524">
    <w:abstractNumId w:val="21"/>
  </w:num>
  <w:num w:numId="11" w16cid:durableId="1871455498">
    <w:abstractNumId w:val="9"/>
  </w:num>
  <w:num w:numId="12" w16cid:durableId="1767923712">
    <w:abstractNumId w:val="11"/>
  </w:num>
  <w:num w:numId="13" w16cid:durableId="749430548">
    <w:abstractNumId w:val="8"/>
  </w:num>
  <w:num w:numId="14" w16cid:durableId="630553735">
    <w:abstractNumId w:val="16"/>
  </w:num>
  <w:num w:numId="15" w16cid:durableId="29654205">
    <w:abstractNumId w:val="2"/>
  </w:num>
  <w:num w:numId="16" w16cid:durableId="1896701273">
    <w:abstractNumId w:val="25"/>
  </w:num>
  <w:num w:numId="17" w16cid:durableId="1284535911">
    <w:abstractNumId w:val="19"/>
  </w:num>
  <w:num w:numId="18" w16cid:durableId="856888411">
    <w:abstractNumId w:val="5"/>
  </w:num>
  <w:num w:numId="19" w16cid:durableId="1791165367">
    <w:abstractNumId w:val="3"/>
  </w:num>
  <w:num w:numId="20" w16cid:durableId="666129303">
    <w:abstractNumId w:val="6"/>
  </w:num>
  <w:num w:numId="21" w16cid:durableId="892274415">
    <w:abstractNumId w:val="1"/>
  </w:num>
  <w:num w:numId="22" w16cid:durableId="519319094">
    <w:abstractNumId w:val="7"/>
  </w:num>
  <w:num w:numId="23" w16cid:durableId="1506431884">
    <w:abstractNumId w:val="4"/>
  </w:num>
  <w:num w:numId="24" w16cid:durableId="892817172">
    <w:abstractNumId w:val="22"/>
  </w:num>
  <w:num w:numId="25" w16cid:durableId="1006130678">
    <w:abstractNumId w:val="27"/>
  </w:num>
  <w:num w:numId="26" w16cid:durableId="2115202790">
    <w:abstractNumId w:val="28"/>
  </w:num>
  <w:num w:numId="27" w16cid:durableId="1891259732">
    <w:abstractNumId w:val="12"/>
  </w:num>
  <w:num w:numId="28" w16cid:durableId="263804115">
    <w:abstractNumId w:val="14"/>
  </w:num>
  <w:num w:numId="29" w16cid:durableId="490482731">
    <w:abstractNumId w:val="20"/>
  </w:num>
  <w:num w:numId="30" w16cid:durableId="999591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772"/>
    <w:rsid w:val="002C61E6"/>
    <w:rsid w:val="005962F7"/>
    <w:rsid w:val="00621806"/>
    <w:rsid w:val="006C4ECC"/>
    <w:rsid w:val="00866772"/>
    <w:rsid w:val="008A7CA5"/>
    <w:rsid w:val="00E24447"/>
    <w:rsid w:val="00F2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AC611"/>
  <w15:chartTrackingRefBased/>
  <w15:docId w15:val="{F52B4F02-958C-4DED-84AE-F537CAD21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67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67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67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67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67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67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67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67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67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67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67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67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677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677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67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67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67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67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67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67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67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67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67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67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67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677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67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677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67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89CBC8D19CCA49A532E22056B307FD" ma:contentTypeVersion="11" ma:contentTypeDescription="Create a new document." ma:contentTypeScope="" ma:versionID="5c6792efa119b3874f114637e4e5bd98">
  <xsd:schema xmlns:xsd="http://www.w3.org/2001/XMLSchema" xmlns:xs="http://www.w3.org/2001/XMLSchema" xmlns:p="http://schemas.microsoft.com/office/2006/metadata/properties" xmlns:ns2="9f003e95-b52d-4b9b-a605-ffb76b3c1724" xmlns:ns3="6922fea3-6f19-4feb-aba0-0aa8c09147e8" targetNamespace="http://schemas.microsoft.com/office/2006/metadata/properties" ma:root="true" ma:fieldsID="eadea48ae456e2d962ddcad294b8f02e" ns2:_="" ns3:_="">
    <xsd:import namespace="9f003e95-b52d-4b9b-a605-ffb76b3c1724"/>
    <xsd:import namespace="6922fea3-6f19-4feb-aba0-0aa8c09147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003e95-b52d-4b9b-a605-ffb76b3c17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40d37ff-4b49-4a0e-9639-cf9ee044ed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2fea3-6f19-4feb-aba0-0aa8c09147e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46ddfa8-07a0-400c-b3c7-f4eb8254ab31}" ma:internalName="TaxCatchAll" ma:showField="CatchAllData" ma:web="6922fea3-6f19-4feb-aba0-0aa8c09147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922fea3-6f19-4feb-aba0-0aa8c09147e8" xsi:nil="true"/>
    <lcf76f155ced4ddcb4097134ff3c332f xmlns="9f003e95-b52d-4b9b-a605-ffb76b3c17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1D10DE4-B545-4A75-B659-FA8D07484CF3}"/>
</file>

<file path=customXml/itemProps2.xml><?xml version="1.0" encoding="utf-8"?>
<ds:datastoreItem xmlns:ds="http://schemas.openxmlformats.org/officeDocument/2006/customXml" ds:itemID="{0579CF71-DB13-48B1-AE77-6070CCFAD183}"/>
</file>

<file path=customXml/itemProps3.xml><?xml version="1.0" encoding="utf-8"?>
<ds:datastoreItem xmlns:ds="http://schemas.openxmlformats.org/officeDocument/2006/customXml" ds:itemID="{3DCB65BE-0903-4F6A-ACB4-9600E1B5F8D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Bloke</dc:creator>
  <cp:keywords/>
  <dc:description/>
  <cp:lastModifiedBy>The Bloke</cp:lastModifiedBy>
  <cp:revision>1</cp:revision>
  <dcterms:created xsi:type="dcterms:W3CDTF">2026-04-24T12:19:00Z</dcterms:created>
  <dcterms:modified xsi:type="dcterms:W3CDTF">2026-04-24T12:38:00Z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0x0101003E89CBC8D19CCA49A532E22056B307FD</vt:lpwstr>
  </property>
</Properties>
</file>