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1303" w14:textId="6A5EF6C1" w:rsidR="00CF2D94" w:rsidRPr="00D15FC0" w:rsidRDefault="00EC19E2" w:rsidP="00D15FC0">
      <w:pPr>
        <w:pStyle w:val="AEMCHEADERL1"/>
        <w:rPr>
          <w:bCs/>
          <w:lang w:val="en-AU"/>
        </w:rPr>
      </w:pPr>
      <w:r>
        <w:rPr>
          <w:bCs/>
          <w:lang w:val="en-AU"/>
        </w:rPr>
        <w:t>Calculating the cumulative price</w:t>
      </w:r>
    </w:p>
    <w:p w14:paraId="066746E4" w14:textId="77777777" w:rsidR="00CF2D94" w:rsidRPr="00F73126" w:rsidRDefault="005E638A" w:rsidP="00627B0D">
      <w:pPr>
        <w:pStyle w:val="AEMCHeaderL2"/>
        <w:outlineLvl w:val="0"/>
        <w:rPr>
          <w:szCs w:val="36"/>
        </w:rPr>
      </w:pPr>
      <w:r>
        <w:t>stakeholder feedback template</w:t>
      </w:r>
    </w:p>
    <w:p w14:paraId="4317426A" w14:textId="77777777" w:rsidR="00DD38E0" w:rsidRDefault="008C6A18" w:rsidP="000C745C">
      <w:pPr>
        <w:pStyle w:val="AEMCBodyCopyIntroPara"/>
        <w:rPr>
          <w:rStyle w:val="Hyperlink"/>
        </w:rPr>
      </w:pPr>
      <w:r w:rsidRPr="008C6A18">
        <w:rPr>
          <w:rStyle w:val="Hyperlink"/>
        </w:rPr>
        <w:t xml:space="preserve">The template below has been developed to enable stakeholders to provide their feedback on the questions posed in </w:t>
      </w:r>
      <w:r w:rsidR="00C114E7">
        <w:rPr>
          <w:rStyle w:val="Hyperlink"/>
        </w:rPr>
        <w:t>the consultation</w:t>
      </w:r>
      <w:r w:rsidRPr="008C6A18">
        <w:rPr>
          <w:rStyle w:val="Hyperlink"/>
        </w:rPr>
        <w:t xml:space="preserve">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14:paraId="6E5BAF14" w14:textId="77777777" w:rsidR="008C6A18" w:rsidRPr="004E4060" w:rsidRDefault="008C6A18" w:rsidP="004E4060">
      <w:pPr>
        <w:pStyle w:val="AEMCHeaderL3"/>
        <w:rPr>
          <w:rStyle w:val="Hyperlink"/>
        </w:rPr>
      </w:pPr>
      <w:r w:rsidRPr="004E4060">
        <w:rPr>
          <w:rStyle w:val="Hyperlink"/>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A85F9E" w14:paraId="5BE0CF8A" w14:textId="77777777" w:rsidTr="00780BB3">
        <w:tc>
          <w:tcPr>
            <w:tcW w:w="1560" w:type="dxa"/>
          </w:tcPr>
          <w:p w14:paraId="4E58728C" w14:textId="77777777" w:rsidR="008C6A18" w:rsidRPr="00780BB3" w:rsidRDefault="000C745C" w:rsidP="000C745C">
            <w:pPr>
              <w:pStyle w:val="AEMCTableCopySubmitterDetails"/>
              <w:rPr>
                <w:rStyle w:val="Hyperlink"/>
                <w:b/>
              </w:rPr>
            </w:pPr>
            <w:r w:rsidRPr="00780BB3">
              <w:rPr>
                <w:rStyle w:val="Hyperlink"/>
                <w:b/>
              </w:rPr>
              <w:t>ORGANISATION:</w:t>
            </w:r>
          </w:p>
        </w:tc>
        <w:tc>
          <w:tcPr>
            <w:tcW w:w="6361" w:type="dxa"/>
          </w:tcPr>
          <w:p w14:paraId="322F4E6F" w14:textId="77777777"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8C6A18" w:rsidRPr="00A85F9E" w14:paraId="02F12F54" w14:textId="77777777" w:rsidTr="00780BB3">
        <w:tc>
          <w:tcPr>
            <w:tcW w:w="1560" w:type="dxa"/>
          </w:tcPr>
          <w:p w14:paraId="5A86CB74" w14:textId="77777777" w:rsidR="008C6A18" w:rsidRPr="00780BB3" w:rsidRDefault="000C745C" w:rsidP="000C745C">
            <w:pPr>
              <w:pStyle w:val="AEMCTableCopySubmitterDetails"/>
              <w:rPr>
                <w:rStyle w:val="Hyperlink"/>
                <w:b/>
              </w:rPr>
            </w:pPr>
            <w:r w:rsidRPr="00780BB3">
              <w:rPr>
                <w:rStyle w:val="Hyperlink"/>
                <w:b/>
              </w:rPr>
              <w:t>CONTACT NAME:</w:t>
            </w:r>
          </w:p>
        </w:tc>
        <w:tc>
          <w:tcPr>
            <w:tcW w:w="6361" w:type="dxa"/>
          </w:tcPr>
          <w:p w14:paraId="003817AE" w14:textId="77777777"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14:paraId="25ACDD3F" w14:textId="77777777" w:rsidTr="00780BB3">
        <w:tc>
          <w:tcPr>
            <w:tcW w:w="1560" w:type="dxa"/>
          </w:tcPr>
          <w:p w14:paraId="79B15712" w14:textId="77777777" w:rsidR="008C6A18" w:rsidRPr="00780BB3" w:rsidRDefault="000C745C" w:rsidP="000C745C">
            <w:pPr>
              <w:pStyle w:val="AEMCTableCopySubmitterDetails"/>
              <w:rPr>
                <w:rStyle w:val="Hyperlink"/>
                <w:b/>
              </w:rPr>
            </w:pPr>
            <w:r w:rsidRPr="00780BB3">
              <w:rPr>
                <w:rStyle w:val="Hyperlink"/>
                <w:b/>
              </w:rPr>
              <w:t>EMAIL:</w:t>
            </w:r>
          </w:p>
        </w:tc>
        <w:tc>
          <w:tcPr>
            <w:tcW w:w="6361" w:type="dxa"/>
          </w:tcPr>
          <w:p w14:paraId="2366468A" w14:textId="77777777"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14:paraId="5A942EA0" w14:textId="77777777" w:rsidTr="00780BB3">
        <w:tc>
          <w:tcPr>
            <w:tcW w:w="1560" w:type="dxa"/>
          </w:tcPr>
          <w:p w14:paraId="73B08DCE" w14:textId="77777777" w:rsidR="008C6A18" w:rsidRPr="00780BB3" w:rsidRDefault="000C745C" w:rsidP="000C745C">
            <w:pPr>
              <w:pStyle w:val="AEMCTableCopySubmitterDetails"/>
              <w:rPr>
                <w:rStyle w:val="Hyperlink"/>
                <w:b/>
              </w:rPr>
            </w:pPr>
            <w:r w:rsidRPr="00780BB3">
              <w:rPr>
                <w:rStyle w:val="Hyperlink"/>
                <w:b/>
              </w:rPr>
              <w:t>PHONE:</w:t>
            </w:r>
          </w:p>
        </w:tc>
        <w:tc>
          <w:tcPr>
            <w:tcW w:w="6361" w:type="dxa"/>
          </w:tcPr>
          <w:p w14:paraId="573D0275" w14:textId="77777777"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r w:rsidR="00C114E7" w:rsidRPr="00A85F9E" w14:paraId="727AFACB" w14:textId="77777777" w:rsidTr="00780BB3">
        <w:tc>
          <w:tcPr>
            <w:tcW w:w="1560" w:type="dxa"/>
          </w:tcPr>
          <w:p w14:paraId="01CD8E17" w14:textId="77777777" w:rsidR="00C114E7" w:rsidRPr="00780BB3" w:rsidRDefault="00C114E7" w:rsidP="000C745C">
            <w:pPr>
              <w:pStyle w:val="AEMCTableCopySubmitterDetails"/>
              <w:rPr>
                <w:rStyle w:val="Hyperlink"/>
                <w:b/>
              </w:rPr>
            </w:pPr>
            <w:r>
              <w:rPr>
                <w:rStyle w:val="Hyperlink"/>
                <w:b/>
              </w:rPr>
              <w:t>DATE</w:t>
            </w:r>
          </w:p>
        </w:tc>
        <w:tc>
          <w:tcPr>
            <w:tcW w:w="6361" w:type="dxa"/>
          </w:tcPr>
          <w:p w14:paraId="45D0B34A" w14:textId="77777777" w:rsidR="00C114E7" w:rsidRPr="00785222" w:rsidRDefault="00C114E7" w:rsidP="00785222">
            <w:pPr>
              <w:pStyle w:val="AEMCTableCopySubmitterDetails"/>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72F43794" w14:textId="77777777" w:rsidR="00C114E7" w:rsidRDefault="00C114E7" w:rsidP="00C114E7">
      <w:pPr>
        <w:pStyle w:val="AEMCHeaderL3"/>
        <w:rPr>
          <w:rStyle w:val="Hyperlink"/>
        </w:rPr>
      </w:pPr>
    </w:p>
    <w:p w14:paraId="1E051018" w14:textId="77777777" w:rsidR="00C114E7" w:rsidRPr="004E4060" w:rsidRDefault="00C114E7" w:rsidP="00C114E7">
      <w:pPr>
        <w:pStyle w:val="AEMCHeaderL3"/>
        <w:rPr>
          <w:rStyle w:val="Hyperlink"/>
        </w:rPr>
      </w:pPr>
      <w:r>
        <w:rPr>
          <w:rStyle w:val="Hyperlink"/>
        </w:rPr>
        <w:t>project</w:t>
      </w:r>
      <w:r w:rsidRPr="004E4060">
        <w:rPr>
          <w:rStyle w:val="Hyperlink"/>
        </w:rPr>
        <w:t xml:space="preserve">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C114E7" w:rsidRPr="00A85F9E" w14:paraId="7FFF2F03" w14:textId="77777777" w:rsidTr="001926E2">
        <w:tc>
          <w:tcPr>
            <w:tcW w:w="1560" w:type="dxa"/>
          </w:tcPr>
          <w:p w14:paraId="43472EC7" w14:textId="23958070" w:rsidR="00C114E7" w:rsidRPr="00780BB3" w:rsidRDefault="00C114E7" w:rsidP="001926E2">
            <w:pPr>
              <w:pStyle w:val="AEMCTableCopySubmitterDetails"/>
              <w:rPr>
                <w:rStyle w:val="Hyperlink"/>
                <w:b/>
              </w:rPr>
            </w:pPr>
            <w:r>
              <w:rPr>
                <w:rStyle w:val="Hyperlink"/>
                <w:b/>
              </w:rPr>
              <w:t>NAME OF RULE CHANGE:</w:t>
            </w:r>
          </w:p>
        </w:tc>
        <w:tc>
          <w:tcPr>
            <w:tcW w:w="6361" w:type="dxa"/>
          </w:tcPr>
          <w:p w14:paraId="1CDA5BC4" w14:textId="09F1DA9B" w:rsidR="00C114E7" w:rsidRPr="00D15FC0" w:rsidRDefault="00EC19E2" w:rsidP="001926E2">
            <w:pPr>
              <w:pStyle w:val="AEMCTableCopySubmitterDetails"/>
              <w:rPr>
                <w:rStyle w:val="Hyperlink"/>
                <w:b/>
                <w:lang w:val="en-AU"/>
              </w:rPr>
            </w:pPr>
            <w:r>
              <w:rPr>
                <w:rStyle w:val="Hyperlink"/>
                <w:b/>
              </w:rPr>
              <w:t xml:space="preserve">Calculating the cumulative price </w:t>
            </w:r>
          </w:p>
        </w:tc>
      </w:tr>
      <w:tr w:rsidR="00C114E7" w:rsidRPr="00A85F9E" w14:paraId="5DF2982A" w14:textId="77777777" w:rsidTr="001926E2">
        <w:tc>
          <w:tcPr>
            <w:tcW w:w="1560" w:type="dxa"/>
          </w:tcPr>
          <w:p w14:paraId="7BBB8ADC" w14:textId="77777777" w:rsidR="00C114E7" w:rsidRPr="00780BB3" w:rsidRDefault="00C114E7" w:rsidP="001926E2">
            <w:pPr>
              <w:pStyle w:val="AEMCTableCopySubmitterDetails"/>
              <w:rPr>
                <w:rStyle w:val="Hyperlink"/>
                <w:b/>
              </w:rPr>
            </w:pPr>
            <w:r>
              <w:rPr>
                <w:rStyle w:val="Hyperlink"/>
                <w:b/>
              </w:rPr>
              <w:t>PROJECT CODE:</w:t>
            </w:r>
          </w:p>
        </w:tc>
        <w:tc>
          <w:tcPr>
            <w:tcW w:w="6361" w:type="dxa"/>
          </w:tcPr>
          <w:p w14:paraId="64CB1507" w14:textId="36D408F2" w:rsidR="00C114E7" w:rsidRPr="00785222" w:rsidRDefault="00D15FC0" w:rsidP="001926E2">
            <w:pPr>
              <w:pStyle w:val="AEMCTableCopySubmitterDetails"/>
              <w:rPr>
                <w:rStyle w:val="Hyperlink"/>
              </w:rPr>
            </w:pPr>
            <w:r>
              <w:rPr>
                <w:rStyle w:val="Hyperlink"/>
                <w:b/>
              </w:rPr>
              <w:t>ERC0</w:t>
            </w:r>
            <w:r w:rsidR="00EC19E2">
              <w:rPr>
                <w:rStyle w:val="Hyperlink"/>
                <w:b/>
              </w:rPr>
              <w:t>356 &amp; ERC0374</w:t>
            </w:r>
          </w:p>
        </w:tc>
      </w:tr>
      <w:tr w:rsidR="00C114E7" w:rsidRPr="00A85F9E" w14:paraId="363A9DEF" w14:textId="77777777" w:rsidTr="001926E2">
        <w:tc>
          <w:tcPr>
            <w:tcW w:w="1560" w:type="dxa"/>
          </w:tcPr>
          <w:p w14:paraId="3EC46F4E" w14:textId="1552CE96" w:rsidR="00C114E7" w:rsidRPr="00780BB3" w:rsidRDefault="00C114E7" w:rsidP="001926E2">
            <w:pPr>
              <w:pStyle w:val="AEMCTableCopySubmitterDetails"/>
              <w:rPr>
                <w:rStyle w:val="Hyperlink"/>
                <w:b/>
              </w:rPr>
            </w:pPr>
            <w:r>
              <w:rPr>
                <w:rStyle w:val="Hyperlink"/>
                <w:b/>
              </w:rPr>
              <w:t>PROPONENT</w:t>
            </w:r>
            <w:r w:rsidR="00D15FC0">
              <w:rPr>
                <w:rStyle w:val="Hyperlink"/>
                <w:b/>
              </w:rPr>
              <w:t xml:space="preserve">: </w:t>
            </w:r>
          </w:p>
        </w:tc>
        <w:tc>
          <w:tcPr>
            <w:tcW w:w="6361" w:type="dxa"/>
          </w:tcPr>
          <w:p w14:paraId="10EEDA55" w14:textId="471BA8F6" w:rsidR="00C114E7" w:rsidRPr="00785222" w:rsidRDefault="00337E9A" w:rsidP="001926E2">
            <w:pPr>
              <w:pStyle w:val="AEMCTableCopySubmitterDetails"/>
              <w:rPr>
                <w:rStyle w:val="Hyperlink"/>
              </w:rPr>
            </w:pPr>
            <w:r>
              <w:rPr>
                <w:rStyle w:val="Hyperlink"/>
                <w:b/>
              </w:rPr>
              <w:t xml:space="preserve">Delta Electricity &amp; Snowy Hydro Limited </w:t>
            </w:r>
          </w:p>
        </w:tc>
      </w:tr>
      <w:tr w:rsidR="00C114E7" w:rsidRPr="00A85F9E" w14:paraId="0694036C" w14:textId="77777777" w:rsidTr="001926E2">
        <w:tc>
          <w:tcPr>
            <w:tcW w:w="1560" w:type="dxa"/>
          </w:tcPr>
          <w:p w14:paraId="01C9B65D" w14:textId="77777777" w:rsidR="00C114E7" w:rsidRPr="00780BB3" w:rsidRDefault="00C114E7" w:rsidP="001926E2">
            <w:pPr>
              <w:pStyle w:val="AEMCTableCopySubmitterDetails"/>
              <w:rPr>
                <w:rStyle w:val="Hyperlink"/>
                <w:b/>
              </w:rPr>
            </w:pPr>
            <w:r>
              <w:rPr>
                <w:rStyle w:val="Hyperlink"/>
                <w:b/>
              </w:rPr>
              <w:t>SUBMISSION DUE DATE:</w:t>
            </w:r>
          </w:p>
        </w:tc>
        <w:tc>
          <w:tcPr>
            <w:tcW w:w="6361" w:type="dxa"/>
          </w:tcPr>
          <w:p w14:paraId="3265CDC6" w14:textId="54F44D6B" w:rsidR="00C114E7" w:rsidRPr="00785222" w:rsidRDefault="00286E6B" w:rsidP="001926E2">
            <w:pPr>
              <w:pStyle w:val="AEMCTableCopySubmitterDetails"/>
              <w:rPr>
                <w:rStyle w:val="Hyperlink"/>
              </w:rPr>
            </w:pPr>
            <w:r>
              <w:rPr>
                <w:rStyle w:val="Hyperlink"/>
                <w:b/>
              </w:rPr>
              <w:t>20 November 2025</w:t>
            </w:r>
          </w:p>
        </w:tc>
      </w:tr>
    </w:tbl>
    <w:p w14:paraId="61B29A7F" w14:textId="20D53000" w:rsidR="00D15FC0" w:rsidRPr="008A4886" w:rsidRDefault="00D15FC0" w:rsidP="006550CC">
      <w:pPr>
        <w:pStyle w:val="AEMCHeaderL4"/>
        <w:rPr>
          <w:rStyle w:val="Hyperlink"/>
        </w:rPr>
      </w:pPr>
      <w:r w:rsidRPr="10CD7DA6">
        <w:rPr>
          <w:rStyle w:val="Hyperlink"/>
          <w:b/>
          <w:bCs/>
        </w:rPr>
        <w:t xml:space="preserve">CHAPTER </w:t>
      </w:r>
      <w:r w:rsidR="00985350">
        <w:rPr>
          <w:rStyle w:val="Hyperlink"/>
          <w:b/>
          <w:bCs/>
        </w:rPr>
        <w:t>2</w:t>
      </w:r>
      <w:r w:rsidRPr="10CD7DA6">
        <w:rPr>
          <w:rStyle w:val="Hyperlink"/>
        </w:rPr>
        <w:t xml:space="preserve"> – </w:t>
      </w:r>
      <w:r w:rsidR="006550CC" w:rsidRPr="006550CC">
        <w:rPr>
          <w:rStyle w:val="Hyperlink"/>
        </w:rPr>
        <w:t>The problem raised in Delta Electricity’s rule change</w:t>
      </w:r>
      <w:r w:rsidR="006550CC">
        <w:rPr>
          <w:rStyle w:val="Hyperlink"/>
        </w:rPr>
        <w:t xml:space="preserve"> </w:t>
      </w:r>
      <w:r w:rsidR="006550CC" w:rsidRPr="006550CC">
        <w:rPr>
          <w:rStyle w:val="Hyperlink"/>
        </w:rPr>
        <w:t>request</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D15FC0" w:rsidRPr="0000465F" w14:paraId="3192413A" w14:textId="77777777" w:rsidTr="005A37D9">
        <w:tc>
          <w:tcPr>
            <w:tcW w:w="2835" w:type="dxa"/>
            <w:tcBorders>
              <w:top w:val="single" w:sz="18" w:space="0" w:color="00A8E5" w:themeColor="accent1"/>
              <w:right w:val="single" w:sz="2" w:space="0" w:color="58595B" w:themeColor="accent4"/>
            </w:tcBorders>
            <w:shd w:val="clear" w:color="auto" w:fill="F6F6F6"/>
          </w:tcPr>
          <w:p w14:paraId="59CA29FE" w14:textId="649CD655" w:rsidR="008E0654" w:rsidRDefault="008E0654" w:rsidP="008E0654">
            <w:pPr>
              <w:pStyle w:val="AEMCTableBodyCopyNumbers"/>
            </w:pPr>
            <w:r>
              <w:t>Is the use of settled prices when one region is in administered pricing, a</w:t>
            </w:r>
            <w:r>
              <w:t xml:space="preserve"> </w:t>
            </w:r>
            <w:r>
              <w:t>problem?</w:t>
            </w:r>
          </w:p>
          <w:p w14:paraId="7FBC40CD" w14:textId="77777777" w:rsidR="00985350" w:rsidRDefault="008E0654" w:rsidP="00985350">
            <w:pPr>
              <w:pStyle w:val="AEMCTableBodyCopyNumbers"/>
              <w:numPr>
                <w:ilvl w:val="0"/>
                <w:numId w:val="0"/>
              </w:numPr>
              <w:ind w:left="284"/>
            </w:pPr>
            <w:r>
              <w:t>Do you consider that the issue raised by Delta Electricity is an inconsistency in how cumulative</w:t>
            </w:r>
            <w:r>
              <w:t xml:space="preserve"> </w:t>
            </w:r>
            <w:r>
              <w:t>price is calculated? If so, do you consider the issue is an unintended consequence of the existing</w:t>
            </w:r>
            <w:r>
              <w:t xml:space="preserve"> </w:t>
            </w:r>
            <w:r>
              <w:t>way that cumulative price is calculated when multiple regions are in administered pricing?</w:t>
            </w:r>
          </w:p>
          <w:p w14:paraId="6959E0AD" w14:textId="15552D6C" w:rsidR="008E0654" w:rsidRDefault="008E0654" w:rsidP="00985350">
            <w:pPr>
              <w:pStyle w:val="AEMCTableBodyCopyNumbers"/>
              <w:numPr>
                <w:ilvl w:val="0"/>
                <w:numId w:val="0"/>
              </w:numPr>
              <w:ind w:left="284"/>
            </w:pPr>
            <w:r>
              <w:lastRenderedPageBreak/>
              <w:t>Do you think that it is also a problem for the FCAS market?</w:t>
            </w:r>
          </w:p>
          <w:p w14:paraId="55C9EBB6" w14:textId="380D42B6" w:rsidR="00D15FC0" w:rsidRPr="00D15FC0" w:rsidRDefault="008E0654" w:rsidP="00985350">
            <w:pPr>
              <w:pStyle w:val="AEMCTableBodyCopyNumbers"/>
              <w:numPr>
                <w:ilvl w:val="0"/>
                <w:numId w:val="0"/>
              </w:numPr>
              <w:ind w:left="284"/>
            </w:pPr>
            <w:r>
              <w:t>Does this issue affect you or those you represent in any way? If so, how?</w:t>
            </w:r>
          </w:p>
        </w:tc>
        <w:tc>
          <w:tcPr>
            <w:tcW w:w="5086" w:type="dxa"/>
            <w:tcBorders>
              <w:top w:val="single" w:sz="18" w:space="0" w:color="00A8E5" w:themeColor="accent1"/>
              <w:left w:val="single" w:sz="2" w:space="0" w:color="58595B" w:themeColor="accent4"/>
            </w:tcBorders>
          </w:tcPr>
          <w:p w14:paraId="3E6486C0" w14:textId="77777777" w:rsidR="00D15FC0" w:rsidRPr="00785222" w:rsidRDefault="00D15FC0" w:rsidP="005A37D9">
            <w:pPr>
              <w:pStyle w:val="AEMCTableBodyCopy"/>
              <w:rPr>
                <w:rStyle w:val="Hyperlink"/>
              </w:rPr>
            </w:pPr>
          </w:p>
        </w:tc>
      </w:tr>
      <w:tr w:rsidR="00D15FC0" w:rsidRPr="0000465F" w14:paraId="49A51218" w14:textId="77777777" w:rsidTr="005A37D9">
        <w:tc>
          <w:tcPr>
            <w:tcW w:w="2835" w:type="dxa"/>
            <w:tcBorders>
              <w:top w:val="single" w:sz="18" w:space="0" w:color="00A8E5" w:themeColor="accent1"/>
              <w:right w:val="single" w:sz="2" w:space="0" w:color="58595B" w:themeColor="accent4"/>
            </w:tcBorders>
            <w:shd w:val="clear" w:color="auto" w:fill="F6F6F6"/>
          </w:tcPr>
          <w:p w14:paraId="353E77D0" w14:textId="7AA982F2" w:rsidR="00DC6B68" w:rsidRPr="00DC6B68" w:rsidRDefault="00DC6B68" w:rsidP="00151BE7">
            <w:pPr>
              <w:pStyle w:val="AEMCTableBodyCopyNumbers"/>
              <w:rPr>
                <w:rStyle w:val="Hyperlink"/>
                <w:lang w:val="pt-BR"/>
              </w:rPr>
            </w:pPr>
            <w:r w:rsidRPr="00DC6B68">
              <w:rPr>
                <w:rStyle w:val="Hyperlink"/>
                <w:lang w:val="pt-BR"/>
              </w:rPr>
              <w:t>Is there a material problem or evidence of an emerging one?</w:t>
            </w:r>
          </w:p>
          <w:p w14:paraId="388725BA" w14:textId="77777777" w:rsidR="00DC6B68" w:rsidRPr="00DC6B68" w:rsidRDefault="00DC6B68" w:rsidP="00DC6B68">
            <w:pPr>
              <w:pStyle w:val="AEMCTableBodyCopy"/>
              <w:ind w:left="284"/>
              <w:rPr>
                <w:rStyle w:val="Hyperlink"/>
                <w:lang w:val="pt-BR"/>
              </w:rPr>
            </w:pPr>
            <w:r w:rsidRPr="00DC6B68">
              <w:rPr>
                <w:rStyle w:val="Hyperlink"/>
                <w:lang w:val="pt-BR"/>
              </w:rPr>
              <w:t>Do you consider that the issue raised by Delta Electricity is a material?</w:t>
            </w:r>
          </w:p>
          <w:p w14:paraId="796512B5" w14:textId="248EAA88" w:rsidR="00D15FC0" w:rsidRPr="002551EA" w:rsidRDefault="00DC6B68" w:rsidP="00DC6B68">
            <w:pPr>
              <w:pStyle w:val="AEMCTableBodyCopy"/>
              <w:ind w:left="284"/>
              <w:rPr>
                <w:rStyle w:val="Hyperlink"/>
                <w:lang w:val="pt-BR"/>
              </w:rPr>
            </w:pPr>
            <w:r w:rsidRPr="00DC6B68">
              <w:rPr>
                <w:rStyle w:val="Hyperlink"/>
                <w:lang w:val="pt-BR"/>
              </w:rPr>
              <w:t>If so, do you consider that the problem will have a more significant impact in the future if it is not</w:t>
            </w:r>
            <w:r>
              <w:rPr>
                <w:rStyle w:val="Hyperlink"/>
                <w:lang w:val="pt-BR"/>
              </w:rPr>
              <w:t xml:space="preserve"> </w:t>
            </w:r>
            <w:r w:rsidRPr="00DC6B68">
              <w:rPr>
                <w:rStyle w:val="Hyperlink"/>
                <w:lang w:val="pt-BR"/>
              </w:rPr>
              <w:t>addressed (either in the spot market, FCAS, or both)?</w:t>
            </w:r>
          </w:p>
        </w:tc>
        <w:tc>
          <w:tcPr>
            <w:tcW w:w="5086" w:type="dxa"/>
            <w:tcBorders>
              <w:top w:val="single" w:sz="18" w:space="0" w:color="00A8E5" w:themeColor="accent1"/>
              <w:left w:val="single" w:sz="2" w:space="0" w:color="58595B" w:themeColor="accent4"/>
            </w:tcBorders>
          </w:tcPr>
          <w:p w14:paraId="358BA77C" w14:textId="77777777" w:rsidR="00D15FC0" w:rsidRPr="00785222" w:rsidRDefault="00D15FC0" w:rsidP="005A37D9">
            <w:pPr>
              <w:pStyle w:val="AEMCTableBodyCopy"/>
              <w:rPr>
                <w:rStyle w:val="Hyperlink"/>
              </w:rPr>
            </w:pPr>
            <w:r w:rsidRPr="00785222">
              <w:rPr>
                <w:rStyle w:val="Hyperlink"/>
              </w:rPr>
              <w:fldChar w:fldCharType="begin">
                <w:ffData>
                  <w:name w:val="Text11"/>
                  <w:enabled/>
                  <w:calcOnExit w:val="0"/>
                  <w:textInput/>
                </w:ffData>
              </w:fldChar>
            </w:r>
            <w:bookmarkStart w:id="4" w:name="Text11"/>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bookmarkEnd w:id="4"/>
          </w:p>
        </w:tc>
      </w:tr>
    </w:tbl>
    <w:p w14:paraId="69C12CA4" w14:textId="501EAB42" w:rsidR="00906CD1" w:rsidRPr="008A4886" w:rsidRDefault="00906CD1" w:rsidP="00151BE7">
      <w:pPr>
        <w:pStyle w:val="AEMCHeaderL4"/>
        <w:rPr>
          <w:rStyle w:val="Hyperlink"/>
        </w:rPr>
      </w:pPr>
      <w:r w:rsidRPr="10CD7DA6">
        <w:rPr>
          <w:rStyle w:val="Hyperlink"/>
          <w:b/>
          <w:bCs/>
        </w:rPr>
        <w:t xml:space="preserve">CHAPTER </w:t>
      </w:r>
      <w:r>
        <w:rPr>
          <w:rStyle w:val="Hyperlink"/>
          <w:b/>
          <w:bCs/>
        </w:rPr>
        <w:t>3</w:t>
      </w:r>
      <w:r w:rsidRPr="10CD7DA6">
        <w:rPr>
          <w:rStyle w:val="Hyperlink"/>
        </w:rPr>
        <w:t xml:space="preserve"> –</w:t>
      </w:r>
      <w:r w:rsidR="00151BE7">
        <w:rPr>
          <w:rStyle w:val="Hyperlink"/>
        </w:rPr>
        <w:t xml:space="preserve"> </w:t>
      </w:r>
      <w:r w:rsidR="00151BE7" w:rsidRPr="00151BE7">
        <w:rPr>
          <w:rStyle w:val="Hyperlink"/>
        </w:rPr>
        <w:t>Delta Electricity’s proposed solution and</w:t>
      </w:r>
      <w:r w:rsidR="00151BE7">
        <w:rPr>
          <w:rStyle w:val="Hyperlink"/>
        </w:rPr>
        <w:t xml:space="preserve"> </w:t>
      </w:r>
      <w:r w:rsidR="00151BE7" w:rsidRPr="00151BE7">
        <w:rPr>
          <w:rStyle w:val="Hyperlink"/>
        </w:rPr>
        <w:t>implementation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906CD1" w:rsidRPr="0000465F" w14:paraId="1D30DFE9" w14:textId="77777777" w:rsidTr="0031128E">
        <w:tc>
          <w:tcPr>
            <w:tcW w:w="2835" w:type="dxa"/>
            <w:tcBorders>
              <w:top w:val="single" w:sz="18" w:space="0" w:color="00A8E5" w:themeColor="accent1"/>
              <w:right w:val="single" w:sz="2" w:space="0" w:color="58595B" w:themeColor="accent4"/>
            </w:tcBorders>
            <w:shd w:val="clear" w:color="auto" w:fill="F6F6F6"/>
          </w:tcPr>
          <w:p w14:paraId="1CCAC5CE" w14:textId="77777777" w:rsidR="00151BE7" w:rsidRDefault="00151BE7" w:rsidP="00151BE7">
            <w:pPr>
              <w:pStyle w:val="AEMCTableBodyCopyNumbers"/>
            </w:pPr>
            <w:r>
              <w:t>Will the proposed solution address the issue raised by the Delta Electricity?</w:t>
            </w:r>
          </w:p>
          <w:p w14:paraId="3AF6E047" w14:textId="03DB8590" w:rsidR="00906CD1" w:rsidRPr="00D15FC0" w:rsidRDefault="00151BE7" w:rsidP="004B4040">
            <w:pPr>
              <w:pStyle w:val="AEMCTableBodyCopyNumbers"/>
              <w:numPr>
                <w:ilvl w:val="0"/>
                <w:numId w:val="0"/>
              </w:numPr>
              <w:ind w:left="284"/>
            </w:pPr>
            <w:r>
              <w:t>What do you consider success would look like if the issue identified by the Delta Electricity was</w:t>
            </w:r>
            <w:r w:rsidR="004B4040">
              <w:t xml:space="preserve"> </w:t>
            </w:r>
            <w:r>
              <w:t>solved?</w:t>
            </w:r>
          </w:p>
        </w:tc>
        <w:tc>
          <w:tcPr>
            <w:tcW w:w="5086" w:type="dxa"/>
            <w:tcBorders>
              <w:top w:val="single" w:sz="18" w:space="0" w:color="00A8E5" w:themeColor="accent1"/>
              <w:left w:val="single" w:sz="2" w:space="0" w:color="58595B" w:themeColor="accent4"/>
            </w:tcBorders>
          </w:tcPr>
          <w:p w14:paraId="2C06D547" w14:textId="77777777" w:rsidR="00906CD1" w:rsidRPr="00785222" w:rsidRDefault="00906CD1" w:rsidP="0031128E">
            <w:pPr>
              <w:pStyle w:val="AEMCTableBodyCopy"/>
              <w:rPr>
                <w:rStyle w:val="Hyperlink"/>
              </w:rPr>
            </w:pPr>
          </w:p>
        </w:tc>
      </w:tr>
      <w:tr w:rsidR="00906CD1" w:rsidRPr="0000465F" w14:paraId="668F2E0A" w14:textId="77777777" w:rsidTr="0071271B">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4A8021CC" w14:textId="7D23A161" w:rsidR="0071271B" w:rsidRPr="0071271B" w:rsidRDefault="0071271B" w:rsidP="0071271B">
            <w:pPr>
              <w:pStyle w:val="AEMCTableBodyCopyNumbers"/>
              <w:rPr>
                <w:rStyle w:val="Hyperlink"/>
                <w:lang w:val="pt-BR"/>
              </w:rPr>
            </w:pPr>
            <w:r w:rsidRPr="0071271B">
              <w:rPr>
                <w:rStyle w:val="Hyperlink"/>
                <w:lang w:val="pt-BR"/>
              </w:rPr>
              <w:t>What are your views of the costs and benefits of the proposed solution?</w:t>
            </w:r>
          </w:p>
          <w:p w14:paraId="309D75C3" w14:textId="77777777" w:rsidR="0071271B" w:rsidRPr="0071271B" w:rsidRDefault="0071271B" w:rsidP="0071271B">
            <w:pPr>
              <w:pStyle w:val="AEMCTableBodyCopy"/>
              <w:ind w:left="284"/>
              <w:rPr>
                <w:rStyle w:val="Hyperlink"/>
                <w:lang w:val="pt-BR"/>
              </w:rPr>
            </w:pPr>
            <w:r w:rsidRPr="0071271B">
              <w:rPr>
                <w:rStyle w:val="Hyperlink"/>
                <w:lang w:val="pt-BR"/>
              </w:rPr>
              <w:t>What do you consider will be the benefits and costs of Delta Electricity’s proposed solution?</w:t>
            </w:r>
          </w:p>
          <w:p w14:paraId="6D3D15F8" w14:textId="23FF16D0" w:rsidR="0071271B" w:rsidRPr="0071271B" w:rsidRDefault="0071271B" w:rsidP="0071271B">
            <w:pPr>
              <w:pStyle w:val="AEMCTableBodyCopy"/>
              <w:ind w:left="284"/>
              <w:rPr>
                <w:rStyle w:val="Hyperlink"/>
                <w:lang w:val="pt-BR"/>
              </w:rPr>
            </w:pPr>
            <w:r w:rsidRPr="0071271B">
              <w:rPr>
                <w:rStyle w:val="Hyperlink"/>
                <w:lang w:val="pt-BR"/>
              </w:rPr>
              <w:t>If there are costs, will these be one-off implementation costs or ongoing? Do these costs fall</w:t>
            </w:r>
            <w:r>
              <w:rPr>
                <w:rStyle w:val="Hyperlink"/>
                <w:lang w:val="pt-BR"/>
              </w:rPr>
              <w:t xml:space="preserve"> </w:t>
            </w:r>
            <w:r w:rsidRPr="0071271B">
              <w:rPr>
                <w:rStyle w:val="Hyperlink"/>
                <w:lang w:val="pt-BR"/>
              </w:rPr>
              <w:t>across both AEMO and participants or with just one party?</w:t>
            </w:r>
          </w:p>
          <w:p w14:paraId="65A7785C" w14:textId="27D93AD8" w:rsidR="00906CD1" w:rsidRPr="002551EA" w:rsidRDefault="0071271B" w:rsidP="0071271B">
            <w:pPr>
              <w:pStyle w:val="AEMCTableBodyCopy"/>
              <w:ind w:left="284"/>
              <w:rPr>
                <w:rStyle w:val="Hyperlink"/>
                <w:lang w:val="pt-BR"/>
              </w:rPr>
            </w:pPr>
            <w:r w:rsidRPr="0071271B">
              <w:rPr>
                <w:rStyle w:val="Hyperlink"/>
                <w:lang w:val="pt-BR"/>
              </w:rPr>
              <w:t>Is there anything the Commission could do in designing the rule that would help to minimise the</w:t>
            </w:r>
            <w:r>
              <w:rPr>
                <w:rStyle w:val="Hyperlink"/>
                <w:lang w:val="pt-BR"/>
              </w:rPr>
              <w:t xml:space="preserve"> </w:t>
            </w:r>
            <w:r w:rsidRPr="0071271B">
              <w:rPr>
                <w:rStyle w:val="Hyperlink"/>
                <w:lang w:val="pt-BR"/>
              </w:rPr>
              <w:t>costs and maximise the benefits?</w:t>
            </w:r>
          </w:p>
        </w:tc>
        <w:tc>
          <w:tcPr>
            <w:tcW w:w="5086" w:type="dxa"/>
            <w:tcBorders>
              <w:top w:val="single" w:sz="18" w:space="0" w:color="00A8E5" w:themeColor="accent1"/>
              <w:left w:val="single" w:sz="2" w:space="0" w:color="58595B" w:themeColor="accent4"/>
              <w:bottom w:val="single" w:sz="18" w:space="0" w:color="00A8E5" w:themeColor="accent1"/>
            </w:tcBorders>
          </w:tcPr>
          <w:p w14:paraId="64C14C0B" w14:textId="77777777" w:rsidR="00906CD1" w:rsidRPr="00785222" w:rsidRDefault="00906CD1" w:rsidP="0031128E">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1271B" w:rsidRPr="0000465F" w14:paraId="2542D40C" w14:textId="77777777" w:rsidTr="00FD1EEC">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6272D2CD" w14:textId="77777777" w:rsidR="00FD1EEC" w:rsidRPr="00FD1EEC" w:rsidRDefault="00FD1EEC" w:rsidP="00FD1EEC">
            <w:pPr>
              <w:pStyle w:val="AEMCTableBodyCopyNumbers"/>
              <w:rPr>
                <w:rStyle w:val="Hyperlink"/>
                <w:lang w:val="pt-BR"/>
              </w:rPr>
            </w:pPr>
            <w:r w:rsidRPr="00FD1EEC">
              <w:rPr>
                <w:rStyle w:val="Hyperlink"/>
                <w:lang w:val="pt-BR"/>
              </w:rPr>
              <w:t>Do you agree with the implementation approach?</w:t>
            </w:r>
          </w:p>
          <w:p w14:paraId="3A42EBAA" w14:textId="0B0CA3EB" w:rsidR="0071271B" w:rsidRPr="0071271B" w:rsidRDefault="00FD1EEC" w:rsidP="00FD1EEC">
            <w:pPr>
              <w:pStyle w:val="AEMCTableBodyCopyNumbers"/>
              <w:numPr>
                <w:ilvl w:val="0"/>
                <w:numId w:val="0"/>
              </w:numPr>
              <w:ind w:left="284"/>
              <w:rPr>
                <w:rStyle w:val="Hyperlink"/>
                <w:lang w:val="pt-BR"/>
              </w:rPr>
            </w:pPr>
            <w:r w:rsidRPr="00FD1EEC">
              <w:rPr>
                <w:rStyle w:val="Hyperlink"/>
                <w:lang w:val="pt-BR"/>
              </w:rPr>
              <w:t>Do you consider that the proposed changes to the rules will solve the problem(s) raised or are</w:t>
            </w:r>
            <w:r>
              <w:rPr>
                <w:rStyle w:val="Hyperlink"/>
                <w:lang w:val="pt-BR"/>
              </w:rPr>
              <w:t xml:space="preserve"> </w:t>
            </w:r>
            <w:r w:rsidRPr="00FD1EEC">
              <w:rPr>
                <w:rStyle w:val="Hyperlink"/>
                <w:lang w:val="pt-BR"/>
              </w:rPr>
              <w:t>there other factors that would have a greater impact?</w:t>
            </w:r>
          </w:p>
        </w:tc>
        <w:tc>
          <w:tcPr>
            <w:tcW w:w="5086" w:type="dxa"/>
            <w:tcBorders>
              <w:top w:val="single" w:sz="18" w:space="0" w:color="00A8E5" w:themeColor="accent1"/>
              <w:left w:val="single" w:sz="2" w:space="0" w:color="58595B" w:themeColor="accent4"/>
              <w:bottom w:val="single" w:sz="18" w:space="0" w:color="00A8E5" w:themeColor="accent1"/>
            </w:tcBorders>
          </w:tcPr>
          <w:p w14:paraId="3457BEE3" w14:textId="77777777" w:rsidR="0071271B" w:rsidRPr="00785222" w:rsidRDefault="0071271B" w:rsidP="0031128E">
            <w:pPr>
              <w:pStyle w:val="AEMCTableBodyCopy"/>
              <w:rPr>
                <w:rStyle w:val="Hyperlink"/>
              </w:rPr>
            </w:pPr>
          </w:p>
        </w:tc>
      </w:tr>
      <w:tr w:rsidR="00FD1EEC" w:rsidRPr="0000465F" w14:paraId="4DA70AB8" w14:textId="77777777" w:rsidTr="0031128E">
        <w:tc>
          <w:tcPr>
            <w:tcW w:w="2835" w:type="dxa"/>
            <w:tcBorders>
              <w:top w:val="single" w:sz="18" w:space="0" w:color="00A8E5" w:themeColor="accent1"/>
              <w:right w:val="single" w:sz="2" w:space="0" w:color="58595B" w:themeColor="accent4"/>
            </w:tcBorders>
            <w:shd w:val="clear" w:color="auto" w:fill="F6F6F6"/>
          </w:tcPr>
          <w:p w14:paraId="5ED81789" w14:textId="77777777" w:rsidR="002D3DA0" w:rsidRPr="002D3DA0" w:rsidRDefault="002D3DA0" w:rsidP="002D3DA0">
            <w:pPr>
              <w:pStyle w:val="AEMCTableBodyCopyNumbers"/>
              <w:rPr>
                <w:rStyle w:val="Hyperlink"/>
                <w:lang w:val="pt-BR"/>
              </w:rPr>
            </w:pPr>
            <w:r w:rsidRPr="002D3DA0">
              <w:rPr>
                <w:rStyle w:val="Hyperlink"/>
                <w:lang w:val="pt-BR"/>
              </w:rPr>
              <w:lastRenderedPageBreak/>
              <w:t>Are there alternative solutions that would be preferable?</w:t>
            </w:r>
          </w:p>
          <w:p w14:paraId="175D5B2B" w14:textId="20378F0E" w:rsidR="002D3DA0" w:rsidRPr="002D3DA0" w:rsidRDefault="002D3DA0" w:rsidP="002D3DA0">
            <w:pPr>
              <w:pStyle w:val="AEMCTableBodyCopyNumbers"/>
              <w:numPr>
                <w:ilvl w:val="0"/>
                <w:numId w:val="0"/>
              </w:numPr>
              <w:ind w:left="284"/>
              <w:rPr>
                <w:rStyle w:val="Hyperlink"/>
                <w:lang w:val="pt-BR"/>
              </w:rPr>
            </w:pPr>
            <w:r w:rsidRPr="002D3DA0">
              <w:rPr>
                <w:rStyle w:val="Hyperlink"/>
                <w:lang w:val="pt-BR"/>
              </w:rPr>
              <w:t>Can you share any alternative solutions that you think would be preferable and more aligned with</w:t>
            </w:r>
            <w:r>
              <w:rPr>
                <w:rStyle w:val="Hyperlink"/>
                <w:lang w:val="pt-BR"/>
              </w:rPr>
              <w:t xml:space="preserve"> </w:t>
            </w:r>
            <w:r w:rsidRPr="002D3DA0">
              <w:rPr>
                <w:rStyle w:val="Hyperlink"/>
                <w:lang w:val="pt-BR"/>
              </w:rPr>
              <w:t>the long-term interests of consumers?</w:t>
            </w:r>
          </w:p>
          <w:p w14:paraId="368C02BF" w14:textId="55E8D4AD" w:rsidR="00FD1EEC" w:rsidRPr="002D3DA0" w:rsidRDefault="002D3DA0" w:rsidP="002D3DA0">
            <w:pPr>
              <w:pStyle w:val="AEMCTableBodyCopyNumbers"/>
              <w:numPr>
                <w:ilvl w:val="0"/>
                <w:numId w:val="0"/>
              </w:numPr>
              <w:ind w:left="284"/>
              <w:rPr>
                <w:rStyle w:val="Hyperlink"/>
                <w:lang w:val="pt-BR"/>
              </w:rPr>
            </w:pPr>
            <w:r w:rsidRPr="002D3DA0">
              <w:rPr>
                <w:rStyle w:val="Hyperlink"/>
                <w:lang w:val="pt-BR"/>
              </w:rPr>
              <w:t>Are there alternative solutions that sit outside of the energy rules such as industry or jurisdictional</w:t>
            </w:r>
            <w:r>
              <w:rPr>
                <w:rStyle w:val="Hyperlink"/>
                <w:lang w:val="pt-BR"/>
              </w:rPr>
              <w:t xml:space="preserve"> </w:t>
            </w:r>
            <w:r w:rsidRPr="002D3DA0">
              <w:rPr>
                <w:rStyle w:val="Hyperlink"/>
                <w:lang w:val="pt-BR"/>
              </w:rPr>
              <w:t>initiatives that would more successfully address the issue?</w:t>
            </w:r>
          </w:p>
        </w:tc>
        <w:tc>
          <w:tcPr>
            <w:tcW w:w="5086" w:type="dxa"/>
            <w:tcBorders>
              <w:top w:val="single" w:sz="18" w:space="0" w:color="00A8E5" w:themeColor="accent1"/>
              <w:left w:val="single" w:sz="2" w:space="0" w:color="58595B" w:themeColor="accent4"/>
            </w:tcBorders>
          </w:tcPr>
          <w:p w14:paraId="3452201F" w14:textId="77777777" w:rsidR="00FD1EEC" w:rsidRPr="00785222" w:rsidRDefault="00FD1EEC" w:rsidP="0031128E">
            <w:pPr>
              <w:pStyle w:val="AEMCTableBodyCopy"/>
              <w:rPr>
                <w:rStyle w:val="Hyperlink"/>
              </w:rPr>
            </w:pPr>
          </w:p>
        </w:tc>
      </w:tr>
    </w:tbl>
    <w:p w14:paraId="4B80E5A9" w14:textId="6508CC8B" w:rsidR="002D3DA0" w:rsidRPr="008A4886" w:rsidRDefault="002D3DA0" w:rsidP="00BB0C65">
      <w:pPr>
        <w:pStyle w:val="AEMCHeaderL4"/>
        <w:rPr>
          <w:rStyle w:val="Hyperlink"/>
        </w:rPr>
      </w:pPr>
      <w:r w:rsidRPr="10CD7DA6">
        <w:rPr>
          <w:rStyle w:val="Hyperlink"/>
          <w:b/>
          <w:bCs/>
        </w:rPr>
        <w:t xml:space="preserve">CHAPTER </w:t>
      </w:r>
      <w:r>
        <w:rPr>
          <w:rStyle w:val="Hyperlink"/>
          <w:b/>
          <w:bCs/>
        </w:rPr>
        <w:t>4</w:t>
      </w:r>
      <w:r w:rsidRPr="10CD7DA6">
        <w:rPr>
          <w:rStyle w:val="Hyperlink"/>
        </w:rPr>
        <w:t xml:space="preserve"> – </w:t>
      </w:r>
      <w:r w:rsidR="00BB0C65" w:rsidRPr="00BB0C65">
        <w:rPr>
          <w:rStyle w:val="Hyperlink"/>
        </w:rPr>
        <w:t>The problem raised in Snowy Hydro’s rule change</w:t>
      </w:r>
      <w:r w:rsidR="00BB0C65">
        <w:rPr>
          <w:rStyle w:val="Hyperlink"/>
        </w:rPr>
        <w:t xml:space="preserve"> </w:t>
      </w:r>
      <w:r w:rsidR="00BB0C65" w:rsidRPr="00BB0C65">
        <w:rPr>
          <w:rStyle w:val="Hyperlink"/>
        </w:rPr>
        <w:t>request</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2D3DA0" w:rsidRPr="0000465F" w14:paraId="021448F6" w14:textId="77777777" w:rsidTr="0031128E">
        <w:tc>
          <w:tcPr>
            <w:tcW w:w="2835" w:type="dxa"/>
            <w:tcBorders>
              <w:top w:val="single" w:sz="18" w:space="0" w:color="00A8E5" w:themeColor="accent1"/>
              <w:right w:val="single" w:sz="2" w:space="0" w:color="58595B" w:themeColor="accent4"/>
            </w:tcBorders>
            <w:shd w:val="clear" w:color="auto" w:fill="F6F6F6"/>
          </w:tcPr>
          <w:p w14:paraId="238750EF" w14:textId="3BDB40F3" w:rsidR="004E32F7" w:rsidRDefault="004E32F7" w:rsidP="004E32F7">
            <w:pPr>
              <w:pStyle w:val="AEMCTableBodyCopyNumbers"/>
            </w:pPr>
            <w:r>
              <w:t>Is the calculation of the cumulative price during an administered pricing period</w:t>
            </w:r>
            <w:r>
              <w:t xml:space="preserve"> </w:t>
            </w:r>
            <w:r>
              <w:t>a problem?</w:t>
            </w:r>
          </w:p>
          <w:p w14:paraId="2EA33159" w14:textId="23599DC9" w:rsidR="004E32F7" w:rsidRDefault="004E32F7" w:rsidP="004E32F7">
            <w:pPr>
              <w:pStyle w:val="AEMCTableBodyCopyNumbers"/>
              <w:numPr>
                <w:ilvl w:val="0"/>
                <w:numId w:val="0"/>
              </w:numPr>
              <w:ind w:left="284"/>
            </w:pPr>
            <w:r>
              <w:t>Is the ‘premature’ ending of an administered pricing period an unintended consequence of the way</w:t>
            </w:r>
            <w:r>
              <w:t xml:space="preserve"> </w:t>
            </w:r>
            <w:r>
              <w:t>that the cumulative price is calculated during administered pricing?</w:t>
            </w:r>
          </w:p>
          <w:p w14:paraId="45A8EB30" w14:textId="77777777" w:rsidR="004E32F7" w:rsidRDefault="004E32F7" w:rsidP="004E32F7">
            <w:pPr>
              <w:pStyle w:val="AEMCTableBodyCopyNumbers"/>
              <w:numPr>
                <w:ilvl w:val="0"/>
                <w:numId w:val="0"/>
              </w:numPr>
              <w:ind w:left="284"/>
            </w:pPr>
            <w:r>
              <w:t>Do you think that it is also a problem for the FCAS market?</w:t>
            </w:r>
          </w:p>
          <w:p w14:paraId="283D8AAA" w14:textId="490699EF" w:rsidR="004E32F7" w:rsidRDefault="004E32F7" w:rsidP="004E32F7">
            <w:pPr>
              <w:pStyle w:val="AEMCTableBodyCopyNumbers"/>
              <w:numPr>
                <w:ilvl w:val="0"/>
                <w:numId w:val="0"/>
              </w:numPr>
              <w:ind w:left="284"/>
            </w:pPr>
            <w:r>
              <w:t>Do you think it provides inadequate protection to consumers and participants against the</w:t>
            </w:r>
            <w:r>
              <w:t xml:space="preserve"> </w:t>
            </w:r>
            <w:r>
              <w:t>immediate resumption of high spot prices?</w:t>
            </w:r>
          </w:p>
          <w:p w14:paraId="71C2CA67" w14:textId="5BFD5CDE" w:rsidR="002D3DA0" w:rsidRPr="00D15FC0" w:rsidRDefault="004E32F7" w:rsidP="004E32F7">
            <w:pPr>
              <w:pStyle w:val="AEMCTableBodyCopyNumbers"/>
              <w:numPr>
                <w:ilvl w:val="0"/>
                <w:numId w:val="0"/>
              </w:numPr>
              <w:ind w:left="284"/>
            </w:pPr>
            <w:r>
              <w:t>Does this issue affect you or those you represent in any way, if so how?</w:t>
            </w:r>
          </w:p>
        </w:tc>
        <w:tc>
          <w:tcPr>
            <w:tcW w:w="5086" w:type="dxa"/>
            <w:tcBorders>
              <w:top w:val="single" w:sz="18" w:space="0" w:color="00A8E5" w:themeColor="accent1"/>
              <w:left w:val="single" w:sz="2" w:space="0" w:color="58595B" w:themeColor="accent4"/>
            </w:tcBorders>
          </w:tcPr>
          <w:p w14:paraId="58DBC4A8" w14:textId="77777777" w:rsidR="002D3DA0" w:rsidRPr="00785222" w:rsidRDefault="002D3DA0" w:rsidP="0031128E">
            <w:pPr>
              <w:pStyle w:val="AEMCTableBodyCopy"/>
              <w:rPr>
                <w:rStyle w:val="Hyperlink"/>
              </w:rPr>
            </w:pPr>
          </w:p>
        </w:tc>
      </w:tr>
      <w:tr w:rsidR="002D3DA0" w:rsidRPr="0000465F" w14:paraId="316E584D" w14:textId="77777777" w:rsidTr="0031128E">
        <w:tc>
          <w:tcPr>
            <w:tcW w:w="2835" w:type="dxa"/>
            <w:tcBorders>
              <w:top w:val="single" w:sz="18" w:space="0" w:color="00A8E5" w:themeColor="accent1"/>
              <w:right w:val="single" w:sz="2" w:space="0" w:color="58595B" w:themeColor="accent4"/>
            </w:tcBorders>
            <w:shd w:val="clear" w:color="auto" w:fill="F6F6F6"/>
          </w:tcPr>
          <w:p w14:paraId="3A946719" w14:textId="77777777" w:rsidR="003273B2" w:rsidRPr="003273B2" w:rsidRDefault="003273B2" w:rsidP="003273B2">
            <w:pPr>
              <w:pStyle w:val="AEMCTableBodyCopyNumbers"/>
              <w:rPr>
                <w:rStyle w:val="Hyperlink"/>
                <w:lang w:val="pt-BR"/>
              </w:rPr>
            </w:pPr>
            <w:r w:rsidRPr="003273B2">
              <w:rPr>
                <w:rStyle w:val="Hyperlink"/>
                <w:lang w:val="pt-BR"/>
              </w:rPr>
              <w:t>Is there a material problem or evidence of an emerging one?</w:t>
            </w:r>
          </w:p>
          <w:p w14:paraId="6A43F96E" w14:textId="77777777" w:rsidR="003273B2" w:rsidRPr="003273B2" w:rsidRDefault="003273B2" w:rsidP="003273B2">
            <w:pPr>
              <w:pStyle w:val="AEMCTableBodyCopyNumbers"/>
              <w:numPr>
                <w:ilvl w:val="0"/>
                <w:numId w:val="0"/>
              </w:numPr>
              <w:ind w:left="284"/>
              <w:rPr>
                <w:rStyle w:val="Hyperlink"/>
                <w:lang w:val="pt-BR"/>
              </w:rPr>
            </w:pPr>
            <w:r w:rsidRPr="003273B2">
              <w:rPr>
                <w:rStyle w:val="Hyperlink"/>
                <w:lang w:val="pt-BR"/>
              </w:rPr>
              <w:t>Do you consider that the issue raised by Snowy Hydro is material?</w:t>
            </w:r>
          </w:p>
          <w:p w14:paraId="14689715" w14:textId="72D5C9A2" w:rsidR="002D3DA0" w:rsidRPr="002551EA" w:rsidRDefault="003273B2" w:rsidP="003273B2">
            <w:pPr>
              <w:pStyle w:val="AEMCTableBodyCopyNumbers"/>
              <w:numPr>
                <w:ilvl w:val="0"/>
                <w:numId w:val="0"/>
              </w:numPr>
              <w:ind w:left="284"/>
              <w:rPr>
                <w:rStyle w:val="Hyperlink"/>
                <w:lang w:val="pt-BR"/>
              </w:rPr>
            </w:pPr>
            <w:r w:rsidRPr="003273B2">
              <w:rPr>
                <w:rStyle w:val="Hyperlink"/>
                <w:lang w:val="pt-BR"/>
              </w:rPr>
              <w:t>If so, do you consider that the problem will have a more significant impact in the future if it is not</w:t>
            </w:r>
            <w:r>
              <w:rPr>
                <w:rStyle w:val="Hyperlink"/>
                <w:lang w:val="pt-BR"/>
              </w:rPr>
              <w:t xml:space="preserve"> </w:t>
            </w:r>
            <w:r w:rsidRPr="003273B2">
              <w:rPr>
                <w:rStyle w:val="Hyperlink"/>
                <w:lang w:val="pt-BR"/>
              </w:rPr>
              <w:t>addressed (either in the spot market, FCAS market, or both)?</w:t>
            </w:r>
          </w:p>
        </w:tc>
        <w:tc>
          <w:tcPr>
            <w:tcW w:w="5086" w:type="dxa"/>
            <w:tcBorders>
              <w:top w:val="single" w:sz="18" w:space="0" w:color="00A8E5" w:themeColor="accent1"/>
              <w:left w:val="single" w:sz="2" w:space="0" w:color="58595B" w:themeColor="accent4"/>
            </w:tcBorders>
          </w:tcPr>
          <w:p w14:paraId="0B78B96E" w14:textId="77777777" w:rsidR="002D3DA0" w:rsidRPr="00785222" w:rsidRDefault="002D3DA0" w:rsidP="0031128E">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6810DB7D" w14:textId="77777777" w:rsidR="00906CD1" w:rsidRDefault="00906CD1" w:rsidP="10CD7DA6">
      <w:pPr>
        <w:pStyle w:val="AEMCHeaderL4"/>
        <w:rPr>
          <w:rStyle w:val="Hyperlink"/>
          <w:b/>
          <w:bCs/>
        </w:rPr>
      </w:pPr>
    </w:p>
    <w:p w14:paraId="6EC2D1CC" w14:textId="7A55BBEF" w:rsidR="003273B2" w:rsidRPr="008A4886" w:rsidRDefault="003273B2" w:rsidP="003273B2">
      <w:pPr>
        <w:pStyle w:val="AEMCHeaderL4"/>
        <w:rPr>
          <w:rStyle w:val="Hyperlink"/>
        </w:rPr>
      </w:pPr>
      <w:r w:rsidRPr="10CD7DA6">
        <w:rPr>
          <w:rStyle w:val="Hyperlink"/>
          <w:b/>
          <w:bCs/>
        </w:rPr>
        <w:t xml:space="preserve">CHAPTER </w:t>
      </w:r>
      <w:r>
        <w:rPr>
          <w:rStyle w:val="Hyperlink"/>
          <w:b/>
          <w:bCs/>
        </w:rPr>
        <w:t>5</w:t>
      </w:r>
      <w:r w:rsidRPr="10CD7DA6">
        <w:rPr>
          <w:rStyle w:val="Hyperlink"/>
        </w:rPr>
        <w:t xml:space="preserve"> – </w:t>
      </w:r>
      <w:r w:rsidR="00456671" w:rsidRPr="00456671">
        <w:rPr>
          <w:rStyle w:val="Hyperlink"/>
        </w:rPr>
        <w:t>Snowy Hydro’s proposed solution and implementation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3273B2" w:rsidRPr="0000465F" w14:paraId="78E481BD" w14:textId="77777777" w:rsidTr="0031128E">
        <w:tc>
          <w:tcPr>
            <w:tcW w:w="2835" w:type="dxa"/>
            <w:tcBorders>
              <w:top w:val="single" w:sz="18" w:space="0" w:color="00A8E5" w:themeColor="accent1"/>
              <w:right w:val="single" w:sz="2" w:space="0" w:color="58595B" w:themeColor="accent4"/>
            </w:tcBorders>
            <w:shd w:val="clear" w:color="auto" w:fill="F6F6F6"/>
          </w:tcPr>
          <w:p w14:paraId="3373A992" w14:textId="77777777" w:rsidR="00456671" w:rsidRDefault="00456671" w:rsidP="00456671">
            <w:pPr>
              <w:pStyle w:val="AEMCTableBodyCopyNumbers"/>
            </w:pPr>
            <w:r>
              <w:lastRenderedPageBreak/>
              <w:t>Will the proposed solution address the issue raised by the Snowy Hydro?</w:t>
            </w:r>
          </w:p>
          <w:p w14:paraId="093684E7" w14:textId="773D1EFA" w:rsidR="003273B2" w:rsidRPr="00D15FC0" w:rsidRDefault="00456671" w:rsidP="00456671">
            <w:pPr>
              <w:pStyle w:val="AEMCTableBodyCopyNumbers"/>
              <w:numPr>
                <w:ilvl w:val="0"/>
                <w:numId w:val="0"/>
              </w:numPr>
              <w:ind w:left="284"/>
            </w:pPr>
            <w:r>
              <w:t>What do you consider success would look like if the issue identified by Snowy Hydro was solved?</w:t>
            </w:r>
          </w:p>
        </w:tc>
        <w:tc>
          <w:tcPr>
            <w:tcW w:w="5086" w:type="dxa"/>
            <w:tcBorders>
              <w:top w:val="single" w:sz="18" w:space="0" w:color="00A8E5" w:themeColor="accent1"/>
              <w:left w:val="single" w:sz="2" w:space="0" w:color="58595B" w:themeColor="accent4"/>
            </w:tcBorders>
          </w:tcPr>
          <w:p w14:paraId="0B95477F" w14:textId="77777777" w:rsidR="003273B2" w:rsidRPr="00785222" w:rsidRDefault="003273B2" w:rsidP="0031128E">
            <w:pPr>
              <w:pStyle w:val="AEMCTableBodyCopy"/>
              <w:rPr>
                <w:rStyle w:val="Hyperlink"/>
              </w:rPr>
            </w:pPr>
          </w:p>
        </w:tc>
      </w:tr>
      <w:tr w:rsidR="003273B2" w:rsidRPr="0000465F" w14:paraId="071C7D67" w14:textId="77777777" w:rsidTr="00DB515B">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20562E5" w14:textId="77777777" w:rsidR="00DB515B" w:rsidRPr="00DB515B" w:rsidRDefault="00DB515B" w:rsidP="00DB515B">
            <w:pPr>
              <w:pStyle w:val="AEMCTableBodyCopyNumbers"/>
              <w:rPr>
                <w:rStyle w:val="Hyperlink"/>
                <w:lang w:val="pt-BR"/>
              </w:rPr>
            </w:pPr>
            <w:r w:rsidRPr="00DB515B">
              <w:rPr>
                <w:rStyle w:val="Hyperlink"/>
                <w:lang w:val="pt-BR"/>
              </w:rPr>
              <w:t>What are your views of the costs and benefits of the proposed solution?</w:t>
            </w:r>
          </w:p>
          <w:p w14:paraId="23AF9933" w14:textId="77777777" w:rsidR="00DB515B" w:rsidRPr="00DB515B" w:rsidRDefault="00DB515B" w:rsidP="00DB515B">
            <w:pPr>
              <w:pStyle w:val="AEMCTableBodyCopyNumbers"/>
              <w:numPr>
                <w:ilvl w:val="0"/>
                <w:numId w:val="0"/>
              </w:numPr>
              <w:ind w:left="284"/>
              <w:rPr>
                <w:rStyle w:val="Hyperlink"/>
                <w:lang w:val="pt-BR"/>
              </w:rPr>
            </w:pPr>
            <w:r w:rsidRPr="00DB515B">
              <w:rPr>
                <w:rStyle w:val="Hyperlink"/>
                <w:lang w:val="pt-BR"/>
              </w:rPr>
              <w:t>What do you consider will be the benefits and costs of the proposed solution?</w:t>
            </w:r>
          </w:p>
          <w:p w14:paraId="2295013D" w14:textId="77777777" w:rsidR="00DB515B" w:rsidRPr="00DB515B" w:rsidRDefault="00DB515B" w:rsidP="00DB515B">
            <w:pPr>
              <w:pStyle w:val="AEMCTableBodyCopyNumbers"/>
              <w:numPr>
                <w:ilvl w:val="0"/>
                <w:numId w:val="0"/>
              </w:numPr>
              <w:ind w:left="284"/>
              <w:rPr>
                <w:rStyle w:val="Hyperlink"/>
                <w:lang w:val="pt-BR"/>
              </w:rPr>
            </w:pPr>
            <w:r w:rsidRPr="00DB515B">
              <w:rPr>
                <w:rStyle w:val="Hyperlink"/>
                <w:lang w:val="pt-BR"/>
              </w:rPr>
              <w:t>If there are costs, will these be one-off or ongoing?</w:t>
            </w:r>
          </w:p>
          <w:p w14:paraId="34D8076F" w14:textId="421A7DEF" w:rsidR="003273B2" w:rsidRPr="002551EA" w:rsidRDefault="00DB515B" w:rsidP="00DB515B">
            <w:pPr>
              <w:pStyle w:val="AEMCTableBodyCopyNumbers"/>
              <w:numPr>
                <w:ilvl w:val="0"/>
                <w:numId w:val="0"/>
              </w:numPr>
              <w:ind w:left="284"/>
              <w:rPr>
                <w:rStyle w:val="Hyperlink"/>
                <w:lang w:val="pt-BR"/>
              </w:rPr>
            </w:pPr>
            <w:r w:rsidRPr="00DB515B">
              <w:rPr>
                <w:rStyle w:val="Hyperlink"/>
                <w:lang w:val="pt-BR"/>
              </w:rPr>
              <w:t>Is there anything the Commission could do in designing the rule that would help to minimise the</w:t>
            </w:r>
            <w:r>
              <w:rPr>
                <w:rStyle w:val="Hyperlink"/>
                <w:lang w:val="pt-BR"/>
              </w:rPr>
              <w:t xml:space="preserve"> </w:t>
            </w:r>
            <w:r w:rsidRPr="00DB515B">
              <w:rPr>
                <w:rStyle w:val="Hyperlink"/>
                <w:lang w:val="pt-BR"/>
              </w:rPr>
              <w:t>costs and maximise the benefits?</w:t>
            </w:r>
          </w:p>
        </w:tc>
        <w:tc>
          <w:tcPr>
            <w:tcW w:w="5086" w:type="dxa"/>
            <w:tcBorders>
              <w:top w:val="single" w:sz="18" w:space="0" w:color="00A8E5" w:themeColor="accent1"/>
              <w:left w:val="single" w:sz="2" w:space="0" w:color="58595B" w:themeColor="accent4"/>
              <w:bottom w:val="single" w:sz="18" w:space="0" w:color="00A8E5" w:themeColor="accent1"/>
            </w:tcBorders>
          </w:tcPr>
          <w:p w14:paraId="5EA1FAB9" w14:textId="77777777" w:rsidR="003273B2" w:rsidRPr="00785222" w:rsidRDefault="003273B2" w:rsidP="0031128E">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B515B" w:rsidRPr="0000465F" w14:paraId="6E85585F" w14:textId="77777777" w:rsidTr="00E8224D">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72A56B7" w14:textId="77777777" w:rsidR="00E8224D" w:rsidRPr="00E8224D" w:rsidRDefault="00E8224D" w:rsidP="00E8224D">
            <w:pPr>
              <w:pStyle w:val="AEMCTableBodyCopyNumbers"/>
              <w:rPr>
                <w:rStyle w:val="Hyperlink"/>
                <w:lang w:val="pt-BR"/>
              </w:rPr>
            </w:pPr>
            <w:r w:rsidRPr="00E8224D">
              <w:rPr>
                <w:rStyle w:val="Hyperlink"/>
                <w:lang w:val="pt-BR"/>
              </w:rPr>
              <w:t>Will the proposed solution address the issue raised by the Snowy Hydro?</w:t>
            </w:r>
          </w:p>
          <w:p w14:paraId="7DE3EE3E" w14:textId="5A092610" w:rsidR="00DB515B" w:rsidRPr="00DB515B" w:rsidRDefault="00E8224D" w:rsidP="00E8224D">
            <w:pPr>
              <w:pStyle w:val="AEMCTableBodyCopyNumbers"/>
              <w:numPr>
                <w:ilvl w:val="0"/>
                <w:numId w:val="0"/>
              </w:numPr>
              <w:ind w:left="284"/>
              <w:rPr>
                <w:rStyle w:val="Hyperlink"/>
                <w:lang w:val="pt-BR"/>
              </w:rPr>
            </w:pPr>
            <w:r w:rsidRPr="00E8224D">
              <w:rPr>
                <w:rStyle w:val="Hyperlink"/>
                <w:lang w:val="pt-BR"/>
              </w:rPr>
              <w:t>Do you consider that the proposed changes to the rules will solve the problem(s) raised or are</w:t>
            </w:r>
            <w:r>
              <w:rPr>
                <w:rStyle w:val="Hyperlink"/>
                <w:lang w:val="pt-BR"/>
              </w:rPr>
              <w:t xml:space="preserve"> </w:t>
            </w:r>
            <w:r w:rsidRPr="00E8224D">
              <w:rPr>
                <w:rStyle w:val="Hyperlink"/>
                <w:lang w:val="pt-BR"/>
              </w:rPr>
              <w:t>there other factors that would have a greater impact?</w:t>
            </w:r>
          </w:p>
        </w:tc>
        <w:tc>
          <w:tcPr>
            <w:tcW w:w="5086" w:type="dxa"/>
            <w:tcBorders>
              <w:top w:val="single" w:sz="18" w:space="0" w:color="00A8E5" w:themeColor="accent1"/>
              <w:left w:val="single" w:sz="2" w:space="0" w:color="58595B" w:themeColor="accent4"/>
              <w:bottom w:val="single" w:sz="18" w:space="0" w:color="00A8E5" w:themeColor="accent1"/>
            </w:tcBorders>
          </w:tcPr>
          <w:p w14:paraId="2C37AA19" w14:textId="77777777" w:rsidR="00DB515B" w:rsidRPr="00785222" w:rsidRDefault="00DB515B" w:rsidP="0031128E">
            <w:pPr>
              <w:pStyle w:val="AEMCTableBodyCopy"/>
              <w:rPr>
                <w:rStyle w:val="Hyperlink"/>
              </w:rPr>
            </w:pPr>
          </w:p>
        </w:tc>
      </w:tr>
      <w:tr w:rsidR="00E8224D" w:rsidRPr="0000465F" w14:paraId="547BE9E5" w14:textId="77777777" w:rsidTr="00E8224D">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3A493432" w14:textId="77777777" w:rsidR="00E8224D" w:rsidRPr="00E8224D" w:rsidRDefault="00E8224D" w:rsidP="00E8224D">
            <w:pPr>
              <w:pStyle w:val="AEMCTableBodyCopyNumbers"/>
              <w:rPr>
                <w:rStyle w:val="Hyperlink"/>
                <w:lang w:val="pt-BR"/>
              </w:rPr>
            </w:pPr>
            <w:r w:rsidRPr="00E8224D">
              <w:rPr>
                <w:rStyle w:val="Hyperlink"/>
                <w:lang w:val="pt-BR"/>
              </w:rPr>
              <w:t>Are there any alternative solutions that would be preferable?</w:t>
            </w:r>
          </w:p>
          <w:p w14:paraId="130830E6" w14:textId="57D1E964" w:rsidR="00E8224D" w:rsidRPr="00E8224D" w:rsidRDefault="00E8224D" w:rsidP="00E8224D">
            <w:pPr>
              <w:pStyle w:val="AEMCTableBodyCopyNumbers"/>
              <w:numPr>
                <w:ilvl w:val="0"/>
                <w:numId w:val="0"/>
              </w:numPr>
              <w:ind w:left="284"/>
              <w:rPr>
                <w:rStyle w:val="Hyperlink"/>
                <w:lang w:val="pt-BR"/>
              </w:rPr>
            </w:pPr>
            <w:r w:rsidRPr="00E8224D">
              <w:rPr>
                <w:rStyle w:val="Hyperlink"/>
                <w:lang w:val="pt-BR"/>
              </w:rPr>
              <w:t>Can you share any alternative solutions that you think would be preferable and more aligned with</w:t>
            </w:r>
            <w:r>
              <w:rPr>
                <w:rStyle w:val="Hyperlink"/>
                <w:lang w:val="pt-BR"/>
              </w:rPr>
              <w:t xml:space="preserve"> </w:t>
            </w:r>
            <w:r w:rsidRPr="00E8224D">
              <w:rPr>
                <w:rStyle w:val="Hyperlink"/>
                <w:lang w:val="pt-BR"/>
              </w:rPr>
              <w:t>the long-term interests of consumers?</w:t>
            </w:r>
          </w:p>
          <w:p w14:paraId="646695BD" w14:textId="7C39B34B" w:rsidR="00E8224D" w:rsidRPr="00E8224D" w:rsidRDefault="00E8224D" w:rsidP="00E8224D">
            <w:pPr>
              <w:pStyle w:val="AEMCTableBodyCopyNumbers"/>
              <w:numPr>
                <w:ilvl w:val="0"/>
                <w:numId w:val="0"/>
              </w:numPr>
              <w:ind w:left="284"/>
              <w:rPr>
                <w:rStyle w:val="Hyperlink"/>
                <w:lang w:val="pt-BR"/>
              </w:rPr>
            </w:pPr>
            <w:r w:rsidRPr="00E8224D">
              <w:rPr>
                <w:rStyle w:val="Hyperlink"/>
                <w:lang w:val="pt-BR"/>
              </w:rPr>
              <w:t>Are there alternative solutions that sit outside of the energy rules such as industry or jurisdictional</w:t>
            </w:r>
            <w:r>
              <w:rPr>
                <w:rStyle w:val="Hyperlink"/>
                <w:lang w:val="pt-BR"/>
              </w:rPr>
              <w:t xml:space="preserve"> </w:t>
            </w:r>
            <w:r w:rsidRPr="00E8224D">
              <w:rPr>
                <w:rStyle w:val="Hyperlink"/>
                <w:lang w:val="pt-BR"/>
              </w:rPr>
              <w:t>initiatives that would more successfully address the issue?</w:t>
            </w:r>
          </w:p>
        </w:tc>
        <w:tc>
          <w:tcPr>
            <w:tcW w:w="5086" w:type="dxa"/>
            <w:tcBorders>
              <w:top w:val="single" w:sz="18" w:space="0" w:color="00A8E5" w:themeColor="accent1"/>
              <w:left w:val="single" w:sz="2" w:space="0" w:color="58595B" w:themeColor="accent4"/>
              <w:bottom w:val="single" w:sz="18" w:space="0" w:color="00A8E5" w:themeColor="accent1"/>
            </w:tcBorders>
          </w:tcPr>
          <w:p w14:paraId="4E8B63AE" w14:textId="77777777" w:rsidR="00E8224D" w:rsidRPr="00785222" w:rsidRDefault="00E8224D" w:rsidP="0031128E">
            <w:pPr>
              <w:pStyle w:val="AEMCTableBodyCopy"/>
              <w:rPr>
                <w:rStyle w:val="Hyperlink"/>
              </w:rPr>
            </w:pPr>
          </w:p>
        </w:tc>
      </w:tr>
      <w:tr w:rsidR="00E8224D" w:rsidRPr="0000465F" w14:paraId="0A18570D" w14:textId="77777777" w:rsidTr="0031128E">
        <w:tc>
          <w:tcPr>
            <w:tcW w:w="2835" w:type="dxa"/>
            <w:tcBorders>
              <w:top w:val="single" w:sz="18" w:space="0" w:color="00A8E5" w:themeColor="accent1"/>
              <w:right w:val="single" w:sz="2" w:space="0" w:color="58595B" w:themeColor="accent4"/>
            </w:tcBorders>
            <w:shd w:val="clear" w:color="auto" w:fill="F6F6F6"/>
          </w:tcPr>
          <w:p w14:paraId="5B8BD52A" w14:textId="77777777" w:rsidR="005D4955" w:rsidRPr="005D4955" w:rsidRDefault="005D4955" w:rsidP="005D4955">
            <w:pPr>
              <w:pStyle w:val="AEMCTableBodyCopyNumbers"/>
              <w:rPr>
                <w:rStyle w:val="Hyperlink"/>
                <w:lang w:val="pt-BR"/>
              </w:rPr>
            </w:pPr>
            <w:r w:rsidRPr="005D4955">
              <w:rPr>
                <w:rStyle w:val="Hyperlink"/>
                <w:lang w:val="pt-BR"/>
              </w:rPr>
              <w:t>What are your views on the interaction between both rule changes?</w:t>
            </w:r>
          </w:p>
          <w:p w14:paraId="5306A24D" w14:textId="02D579FC" w:rsidR="005D4955" w:rsidRPr="005D4955" w:rsidRDefault="005D4955" w:rsidP="005D4955">
            <w:pPr>
              <w:pStyle w:val="AEMCTableBodyCopyNumbers"/>
              <w:numPr>
                <w:ilvl w:val="0"/>
                <w:numId w:val="0"/>
              </w:numPr>
              <w:ind w:left="284"/>
              <w:rPr>
                <w:rStyle w:val="Hyperlink"/>
                <w:lang w:val="pt-BR"/>
              </w:rPr>
            </w:pPr>
            <w:r w:rsidRPr="005D4955">
              <w:rPr>
                <w:rStyle w:val="Hyperlink"/>
                <w:lang w:val="pt-BR"/>
              </w:rPr>
              <w:t>Do you consider that the proposed rule changes could interact to cause unintended</w:t>
            </w:r>
            <w:r>
              <w:rPr>
                <w:rStyle w:val="Hyperlink"/>
                <w:lang w:val="pt-BR"/>
              </w:rPr>
              <w:t xml:space="preserve"> </w:t>
            </w:r>
            <w:r w:rsidRPr="005D4955">
              <w:rPr>
                <w:rStyle w:val="Hyperlink"/>
                <w:lang w:val="pt-BR"/>
              </w:rPr>
              <w:t>consequences?</w:t>
            </w:r>
          </w:p>
          <w:p w14:paraId="600C7EB4" w14:textId="408D4B73" w:rsidR="00E8224D" w:rsidRPr="00E8224D" w:rsidRDefault="005D4955" w:rsidP="005D4955">
            <w:pPr>
              <w:pStyle w:val="AEMCTableBodyCopyNumbers"/>
              <w:numPr>
                <w:ilvl w:val="0"/>
                <w:numId w:val="0"/>
              </w:numPr>
              <w:ind w:left="284"/>
              <w:rPr>
                <w:rStyle w:val="Hyperlink"/>
                <w:lang w:val="pt-BR"/>
              </w:rPr>
            </w:pPr>
            <w:r w:rsidRPr="005D4955">
              <w:rPr>
                <w:rStyle w:val="Hyperlink"/>
                <w:lang w:val="pt-BR"/>
              </w:rPr>
              <w:t>If so, what would they be, and how would you mitigate them?</w:t>
            </w:r>
          </w:p>
        </w:tc>
        <w:tc>
          <w:tcPr>
            <w:tcW w:w="5086" w:type="dxa"/>
            <w:tcBorders>
              <w:top w:val="single" w:sz="18" w:space="0" w:color="00A8E5" w:themeColor="accent1"/>
              <w:left w:val="single" w:sz="2" w:space="0" w:color="58595B" w:themeColor="accent4"/>
            </w:tcBorders>
          </w:tcPr>
          <w:p w14:paraId="5A65AFDB" w14:textId="77777777" w:rsidR="00E8224D" w:rsidRPr="00785222" w:rsidRDefault="00E8224D" w:rsidP="0031128E">
            <w:pPr>
              <w:pStyle w:val="AEMCTableBodyCopy"/>
              <w:rPr>
                <w:rStyle w:val="Hyperlink"/>
              </w:rPr>
            </w:pPr>
          </w:p>
        </w:tc>
      </w:tr>
    </w:tbl>
    <w:p w14:paraId="63C7CF56" w14:textId="64515F7A" w:rsidR="005D4955" w:rsidRPr="008A4886" w:rsidRDefault="005D4955" w:rsidP="005D4955">
      <w:pPr>
        <w:pStyle w:val="AEMCHeaderL4"/>
        <w:rPr>
          <w:rStyle w:val="Hyperlink"/>
        </w:rPr>
      </w:pPr>
      <w:r w:rsidRPr="10CD7DA6">
        <w:rPr>
          <w:rStyle w:val="Hyperlink"/>
          <w:b/>
          <w:bCs/>
        </w:rPr>
        <w:lastRenderedPageBreak/>
        <w:t xml:space="preserve">CHAPTER </w:t>
      </w:r>
      <w:r w:rsidR="00CC7B1F">
        <w:rPr>
          <w:rStyle w:val="Hyperlink"/>
          <w:b/>
          <w:bCs/>
        </w:rPr>
        <w:t>6</w:t>
      </w:r>
      <w:r w:rsidRPr="10CD7DA6">
        <w:rPr>
          <w:rStyle w:val="Hyperlink"/>
        </w:rPr>
        <w:t xml:space="preserve"> – </w:t>
      </w:r>
      <w:r w:rsidR="00CC7B1F" w:rsidRPr="00CC7B1F">
        <w:rPr>
          <w:rStyle w:val="Hyperlink"/>
        </w:rPr>
        <w:t>Making our decision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5D4955" w:rsidRPr="0000465F" w14:paraId="04D203D0" w14:textId="77777777" w:rsidTr="0031128E">
        <w:tc>
          <w:tcPr>
            <w:tcW w:w="2835" w:type="dxa"/>
            <w:tcBorders>
              <w:top w:val="single" w:sz="18" w:space="0" w:color="00A8E5" w:themeColor="accent1"/>
              <w:right w:val="single" w:sz="2" w:space="0" w:color="58595B" w:themeColor="accent4"/>
            </w:tcBorders>
            <w:shd w:val="clear" w:color="auto" w:fill="F6F6F6"/>
          </w:tcPr>
          <w:p w14:paraId="5ADBBD53" w14:textId="77777777" w:rsidR="00CC7B1F" w:rsidRDefault="00CC7B1F" w:rsidP="00CC7B1F">
            <w:pPr>
              <w:pStyle w:val="AEMCTableBodyCopyNumbers"/>
            </w:pPr>
            <w:r>
              <w:t>Assessment framework</w:t>
            </w:r>
          </w:p>
          <w:p w14:paraId="3AFAFBC2" w14:textId="77777777" w:rsidR="00CC7B1F" w:rsidRDefault="00CC7B1F" w:rsidP="00CC7B1F">
            <w:pPr>
              <w:pStyle w:val="AEMCTableBodyCopyNumbers"/>
              <w:numPr>
                <w:ilvl w:val="0"/>
                <w:numId w:val="0"/>
              </w:numPr>
              <w:ind w:left="284"/>
            </w:pPr>
            <w:r>
              <w:t>Do you agree with the proposed assessment criteria?</w:t>
            </w:r>
          </w:p>
          <w:p w14:paraId="1229476F" w14:textId="07AF84AA" w:rsidR="005D4955" w:rsidRPr="00D15FC0" w:rsidRDefault="00CC7B1F" w:rsidP="00CC7B1F">
            <w:pPr>
              <w:pStyle w:val="AEMCTableBodyCopyNumbers"/>
              <w:numPr>
                <w:ilvl w:val="0"/>
                <w:numId w:val="0"/>
              </w:numPr>
              <w:ind w:left="284"/>
            </w:pPr>
            <w:r>
              <w:t>Are there additional criteria that the Commission should consider or criteria included here that are</w:t>
            </w:r>
            <w:r>
              <w:t xml:space="preserve"> </w:t>
            </w:r>
            <w:r>
              <w:t>not relevant?</w:t>
            </w:r>
          </w:p>
        </w:tc>
        <w:tc>
          <w:tcPr>
            <w:tcW w:w="5086" w:type="dxa"/>
            <w:tcBorders>
              <w:top w:val="single" w:sz="18" w:space="0" w:color="00A8E5" w:themeColor="accent1"/>
              <w:left w:val="single" w:sz="2" w:space="0" w:color="58595B" w:themeColor="accent4"/>
            </w:tcBorders>
          </w:tcPr>
          <w:p w14:paraId="54A62478" w14:textId="77777777" w:rsidR="005D4955" w:rsidRPr="00785222" w:rsidRDefault="005D4955" w:rsidP="0031128E">
            <w:pPr>
              <w:pStyle w:val="AEMCTableBodyCopy"/>
              <w:rPr>
                <w:rStyle w:val="Hyperlink"/>
              </w:rPr>
            </w:pPr>
          </w:p>
        </w:tc>
      </w:tr>
    </w:tbl>
    <w:p w14:paraId="1BB46514" w14:textId="579FAB1C" w:rsidR="00C114E7" w:rsidRPr="0015555C" w:rsidRDefault="00C114E7" w:rsidP="00CC7B1F">
      <w:pPr>
        <w:pStyle w:val="AEMCHeaderL4"/>
      </w:pPr>
    </w:p>
    <w:sectPr w:rsidR="00C114E7" w:rsidRPr="0015555C" w:rsidSect="00EC758E">
      <w:headerReference w:type="default" r:id="rId12"/>
      <w:footerReference w:type="default" r:id="rId13"/>
      <w:headerReference w:type="first" r:id="rId14"/>
      <w:footerReference w:type="first" r:id="rId15"/>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BBFF" w14:textId="77777777" w:rsidR="00EC758E" w:rsidRDefault="00EC758E" w:rsidP="00E768E2">
      <w:r>
        <w:separator/>
      </w:r>
    </w:p>
    <w:p w14:paraId="583CCEEC" w14:textId="77777777" w:rsidR="00EC758E" w:rsidRDefault="00EC758E" w:rsidP="00E768E2"/>
    <w:p w14:paraId="2FDB10CC" w14:textId="77777777" w:rsidR="00EC758E" w:rsidRDefault="00EC758E" w:rsidP="00E768E2"/>
    <w:p w14:paraId="02202C84" w14:textId="77777777" w:rsidR="00EC758E" w:rsidRDefault="00EC758E" w:rsidP="00E768E2"/>
    <w:p w14:paraId="27588598" w14:textId="77777777" w:rsidR="00EC758E" w:rsidRDefault="00EC758E"/>
    <w:p w14:paraId="0A09D032" w14:textId="77777777" w:rsidR="00EC758E" w:rsidRDefault="00EC758E"/>
  </w:endnote>
  <w:endnote w:type="continuationSeparator" w:id="0">
    <w:p w14:paraId="42A92F5E" w14:textId="77777777" w:rsidR="00EC758E" w:rsidRDefault="00EC758E" w:rsidP="00E768E2">
      <w:r>
        <w:continuationSeparator/>
      </w:r>
    </w:p>
    <w:p w14:paraId="6F8B0EAC" w14:textId="77777777" w:rsidR="00EC758E" w:rsidRDefault="00EC758E" w:rsidP="00E768E2"/>
    <w:p w14:paraId="44BEE168" w14:textId="77777777" w:rsidR="00EC758E" w:rsidRDefault="00EC758E" w:rsidP="00E768E2"/>
    <w:p w14:paraId="69DA359C" w14:textId="77777777" w:rsidR="00EC758E" w:rsidRDefault="00EC758E" w:rsidP="00E768E2"/>
    <w:p w14:paraId="734791E9" w14:textId="77777777" w:rsidR="00EC758E" w:rsidRDefault="00EC758E"/>
    <w:p w14:paraId="1BB59B99" w14:textId="77777777" w:rsidR="00EC758E" w:rsidRDefault="00EC758E"/>
  </w:endnote>
  <w:endnote w:type="continuationNotice" w:id="1">
    <w:p w14:paraId="3A2E89A8" w14:textId="77777777" w:rsidR="00EC758E" w:rsidRDefault="00EC7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New Roman (Body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CCF4"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531CE8">
      <w:rPr>
        <w:rStyle w:val="PageNumber"/>
        <w:b/>
        <w:noProof/>
      </w:rPr>
      <w:t>2</w:t>
    </w:r>
    <w:r w:rsidR="0016293F" w:rsidRPr="00D260F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6B22"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531CE8">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B595" w14:textId="77777777" w:rsidR="00EC758E" w:rsidRDefault="00EC758E">
      <w:r>
        <w:separator/>
      </w:r>
    </w:p>
  </w:footnote>
  <w:footnote w:type="continuationSeparator" w:id="0">
    <w:p w14:paraId="7C592B2F" w14:textId="77777777" w:rsidR="00EC758E" w:rsidRDefault="00EC758E" w:rsidP="00E768E2">
      <w:r>
        <w:continuationSeparator/>
      </w:r>
    </w:p>
    <w:p w14:paraId="03DA9E24" w14:textId="77777777" w:rsidR="00EC758E" w:rsidRDefault="00EC758E" w:rsidP="00E768E2"/>
    <w:p w14:paraId="74F18C7D" w14:textId="77777777" w:rsidR="00EC758E" w:rsidRDefault="00EC758E" w:rsidP="00E768E2"/>
    <w:p w14:paraId="71A78733" w14:textId="77777777" w:rsidR="00EC758E" w:rsidRDefault="00EC758E" w:rsidP="00E768E2"/>
    <w:p w14:paraId="42FAB008" w14:textId="77777777" w:rsidR="00EC758E" w:rsidRDefault="00EC758E"/>
    <w:p w14:paraId="263FEA2A" w14:textId="77777777" w:rsidR="00EC758E" w:rsidRDefault="00EC758E"/>
  </w:footnote>
  <w:footnote w:type="continuationNotice" w:id="1">
    <w:p w14:paraId="14F56CF5" w14:textId="77777777" w:rsidR="00EC758E" w:rsidRDefault="00EC7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16"/>
    </w:tblGrid>
    <w:tr w:rsidR="00D260FB" w14:paraId="43F23E04" w14:textId="77777777" w:rsidTr="00C14DB5">
      <w:trPr>
        <w:trHeight w:val="680"/>
      </w:trPr>
      <w:tc>
        <w:tcPr>
          <w:tcW w:w="8147" w:type="dxa"/>
        </w:tcPr>
        <w:p w14:paraId="08645543" w14:textId="77777777" w:rsidR="00D260FB" w:rsidRPr="00D15FC0" w:rsidRDefault="005E638A" w:rsidP="00D260FB">
          <w:pPr>
            <w:pStyle w:val="Header"/>
            <w:ind w:left="85"/>
            <w:rPr>
              <w:b/>
              <w:lang w:val="en-AU"/>
            </w:rPr>
          </w:pPr>
          <w:r w:rsidRPr="00D15FC0">
            <w:rPr>
              <w:b/>
              <w:lang w:val="en-AU"/>
            </w:rPr>
            <w:t>Stakeholder feedback</w:t>
          </w:r>
        </w:p>
        <w:p w14:paraId="669A2E61" w14:textId="73F10E92" w:rsidR="00D260FB" w:rsidRDefault="00C114E7" w:rsidP="00D260FB">
          <w:pPr>
            <w:pStyle w:val="Header"/>
            <w:ind w:left="85"/>
            <w:rPr>
              <w:lang w:val="en-AU"/>
            </w:rPr>
          </w:pPr>
          <w:r w:rsidRPr="00D15FC0">
            <w:rPr>
              <w:lang w:val="en-AU"/>
            </w:rPr>
            <w:t xml:space="preserve"> 20</w:t>
          </w:r>
          <w:r w:rsidR="00D15FC0" w:rsidRPr="00D15FC0">
            <w:rPr>
              <w:lang w:val="en-AU"/>
            </w:rPr>
            <w:t>25</w:t>
          </w:r>
        </w:p>
      </w:tc>
    </w:tr>
  </w:tbl>
  <w:p w14:paraId="3F42062E" w14:textId="77777777"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8241" behindDoc="1" locked="0" layoutInCell="1" allowOverlap="1" wp14:anchorId="383AA43A" wp14:editId="3CBB1BC3">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AA43A" id="_x0000_t202" coordsize="21600,21600" o:spt="202" path="m,l,21600r21600,l21600,xe">
              <v:stroke joinstyle="miter"/>
              <v:path gradientshapeok="t" o:connecttype="rect"/>
            </v:shapetype>
            <v:shape id="Text Box 3" o:spid="_x0000_s1026" type="#_x0000_t202" style="position:absolute;margin-left:56.65pt;margin-top:44pt;width:68pt;height: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" filled="f" stroked="f" strokeweight=".5pt">
              <v:textbox inset="0,0,0,0">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566" w14:textId="77777777" w:rsidR="00EB47DB" w:rsidRDefault="00A96BEB">
    <w:pPr>
      <w:pStyle w:val="Header"/>
    </w:pPr>
    <w:r w:rsidRPr="00F73126">
      <w:rPr>
        <w:noProof/>
        <w:sz w:val="36"/>
        <w:szCs w:val="36"/>
        <w:lang w:val="en-AU" w:eastAsia="en-AU"/>
      </w:rPr>
      <mc:AlternateContent>
        <mc:Choice Requires="wps">
          <w:drawing>
            <wp:anchor distT="0" distB="0" distL="114300" distR="114300" simplePos="0" relativeHeight="251658240" behindDoc="1" locked="0" layoutInCell="1" allowOverlap="0" wp14:anchorId="7124E7BF" wp14:editId="2FDB7769">
              <wp:simplePos x="0" y="0"/>
              <wp:positionH relativeFrom="page">
                <wp:posOffset>765810</wp:posOffset>
              </wp:positionH>
              <wp:positionV relativeFrom="page">
                <wp:posOffset>1887855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167EB9" id="Straight Connector 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pt,148.65pt" to="108.9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" o:allowoverlap="f" strokecolor="#00a8e5 [3204]" strokeweight="1.5pt">
              <w10:wrap anchorx="page" anchory="page"/>
            </v:line>
          </w:pict>
        </mc:Fallback>
      </mc:AlternateContent>
    </w:r>
    <w:r w:rsidR="00F73126">
      <w:rPr>
        <w:noProof/>
        <w:lang w:val="en-AU" w:eastAsia="en-AU"/>
      </w:rPr>
      <w:drawing>
        <wp:inline distT="0" distB="0" distL="0" distR="0" wp14:anchorId="1180B5B6" wp14:editId="11C7D44C">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AD1"/>
    <w:multiLevelType w:val="hybridMultilevel"/>
    <w:tmpl w:val="924284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D14928"/>
    <w:multiLevelType w:val="hybridMultilevel"/>
    <w:tmpl w:val="BE601666"/>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581A6A"/>
    <w:multiLevelType w:val="hybridMultilevel"/>
    <w:tmpl w:val="4CF23C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860513">
    <w:abstractNumId w:val="5"/>
  </w:num>
  <w:num w:numId="2" w16cid:durableId="1829635339">
    <w:abstractNumId w:val="3"/>
  </w:num>
  <w:num w:numId="3" w16cid:durableId="1601402807">
    <w:abstractNumId w:val="1"/>
  </w:num>
  <w:num w:numId="4" w16cid:durableId="2099909205">
    <w:abstractNumId w:val="2"/>
  </w:num>
  <w:num w:numId="5" w16cid:durableId="1962492992">
    <w:abstractNumId w:val="6"/>
  </w:num>
  <w:num w:numId="6" w16cid:durableId="1825926473">
    <w:abstractNumId w:val="7"/>
  </w:num>
  <w:num w:numId="7" w16cid:durableId="829176880">
    <w:abstractNumId w:val="4"/>
  </w:num>
  <w:num w:numId="8" w16cid:durableId="71708049">
    <w:abstractNumId w:val="4"/>
    <w:lvlOverride w:ilvl="0">
      <w:startOverride w:val="1"/>
    </w:lvlOverride>
  </w:num>
  <w:num w:numId="9" w16cid:durableId="1697851166">
    <w:abstractNumId w:val="8"/>
  </w:num>
  <w:num w:numId="10" w16cid:durableId="1237326459">
    <w:abstractNumId w:val="0"/>
  </w:num>
  <w:num w:numId="11" w16cid:durableId="18807038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EA"/>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97D99"/>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1BE7"/>
    <w:rsid w:val="00152186"/>
    <w:rsid w:val="0015281A"/>
    <w:rsid w:val="00152D58"/>
    <w:rsid w:val="00154925"/>
    <w:rsid w:val="001549DD"/>
    <w:rsid w:val="0015518A"/>
    <w:rsid w:val="0015555C"/>
    <w:rsid w:val="001567FB"/>
    <w:rsid w:val="00156ED7"/>
    <w:rsid w:val="00156EF0"/>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1EA"/>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86E6B"/>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3DA0"/>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3B2"/>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37E9A"/>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671"/>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2B32"/>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040"/>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32F7"/>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1CE8"/>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05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044"/>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955"/>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0CC"/>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0D22"/>
    <w:rsid w:val="006A14A1"/>
    <w:rsid w:val="006A3D16"/>
    <w:rsid w:val="006A67B5"/>
    <w:rsid w:val="006B2E00"/>
    <w:rsid w:val="006B2F97"/>
    <w:rsid w:val="006B314C"/>
    <w:rsid w:val="006B3D97"/>
    <w:rsid w:val="006B3E3F"/>
    <w:rsid w:val="006B4137"/>
    <w:rsid w:val="006B4AFA"/>
    <w:rsid w:val="006B4C44"/>
    <w:rsid w:val="006B6B24"/>
    <w:rsid w:val="006B7527"/>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71B"/>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A7C17"/>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0654"/>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6CD1"/>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50"/>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6BE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13DE"/>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0C65"/>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14E7"/>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C7B1F"/>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5FC0"/>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15B"/>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6B68"/>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02F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224D"/>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19E2"/>
    <w:rsid w:val="00EC2256"/>
    <w:rsid w:val="00EC384C"/>
    <w:rsid w:val="00EC3D77"/>
    <w:rsid w:val="00EC5CB4"/>
    <w:rsid w:val="00EC660E"/>
    <w:rsid w:val="00EC6D38"/>
    <w:rsid w:val="00EC72E0"/>
    <w:rsid w:val="00EC73AB"/>
    <w:rsid w:val="00EC758E"/>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1EEC"/>
    <w:rsid w:val="00FD231C"/>
    <w:rsid w:val="00FD2770"/>
    <w:rsid w:val="00FD4819"/>
    <w:rsid w:val="00FD4FC2"/>
    <w:rsid w:val="00FD5191"/>
    <w:rsid w:val="00FD5E1F"/>
    <w:rsid w:val="00FD648E"/>
    <w:rsid w:val="00FE15D2"/>
    <w:rsid w:val="00FE3327"/>
    <w:rsid w:val="00FE369E"/>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 w:val="10CD7DA6"/>
    <w:rsid w:val="367298BE"/>
    <w:rsid w:val="39FD6CC4"/>
    <w:rsid w:val="59574066"/>
    <w:rsid w:val="6FBF2083"/>
    <w:rsid w:val="70983681"/>
    <w:rsid w:val="76F9AB67"/>
    <w:rsid w:val="78242EB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3612"/>
  <w15:docId w15:val="{F4DDB077-970D-428B-8190-B8869180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375937235">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720862366">
      <w:bodyDiv w:val="1"/>
      <w:marLeft w:val="0"/>
      <w:marRight w:val="0"/>
      <w:marTop w:val="0"/>
      <w:marBottom w:val="0"/>
      <w:divBdr>
        <w:top w:val="none" w:sz="0" w:space="0" w:color="auto"/>
        <w:left w:val="none" w:sz="0" w:space="0" w:color="auto"/>
        <w:bottom w:val="none" w:sz="0" w:space="0" w:color="auto"/>
        <w:right w:val="none" w:sz="0" w:space="0" w:color="auto"/>
      </w:divBdr>
    </w:div>
    <w:div w:id="870344951">
      <w:bodyDiv w:val="1"/>
      <w:marLeft w:val="0"/>
      <w:marRight w:val="0"/>
      <w:marTop w:val="0"/>
      <w:marBottom w:val="0"/>
      <w:divBdr>
        <w:top w:val="none" w:sz="0" w:space="0" w:color="auto"/>
        <w:left w:val="none" w:sz="0" w:space="0" w:color="auto"/>
        <w:bottom w:val="none" w:sz="0" w:space="0" w:color="auto"/>
        <w:right w:val="none" w:sz="0" w:space="0" w:color="auto"/>
      </w:divBdr>
    </w:div>
    <w:div w:id="1047920796">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moraes\aemc.gov.au\Knowledge%20Bank%20-%20Documents\9%20Tools%20and%20templates\Templates\Submissions%20-%20stakeholder%20feedback%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378425D36E7458CAAF170B006AD2E" ma:contentTypeVersion="4" ma:contentTypeDescription="Create a new document." ma:contentTypeScope="" ma:versionID="98da2d68b1c8b19637cc1de72dff3e10">
  <xsd:schema xmlns:xsd="http://www.w3.org/2001/XMLSchema" xmlns:xs="http://www.w3.org/2001/XMLSchema" xmlns:p="http://schemas.microsoft.com/office/2006/metadata/properties" xmlns:ns2="231a712e-36f4-49b9-ba86-cb6f269dace2" targetNamespace="http://schemas.microsoft.com/office/2006/metadata/properties" ma:root="true" ma:fieldsID="fcbe787feb407593015813a8069fa46e" ns2:_="">
    <xsd:import namespace="231a712e-36f4-49b9-ba86-cb6f269da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712e-36f4-49b9-ba86-cb6f269da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46F0E7A-282F-44FB-AD0D-0354B79A2751}">
  <ds:schemaRefs>
    <ds:schemaRef ds:uri="http://schemas.microsoft.com/sharepoint/v3/contenttype/forms"/>
  </ds:schemaRefs>
</ds:datastoreItem>
</file>

<file path=customXml/itemProps2.xml><?xml version="1.0" encoding="utf-8"?>
<ds:datastoreItem xmlns:ds="http://schemas.openxmlformats.org/officeDocument/2006/customXml" ds:itemID="{AD3B7B02-2161-45F2-9CD6-27BEDCDD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a712e-36f4-49b9-ba86-cb6f269da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B07F5-4E6B-435C-A102-51E915233E44}">
  <ds:schemaRefs>
    <ds:schemaRef ds:uri="http://schemas.openxmlformats.org/officeDocument/2006/bibliography"/>
  </ds:schemaRefs>
</ds:datastoreItem>
</file>

<file path=customXml/itemProps4.xml><?xml version="1.0" encoding="utf-8"?>
<ds:datastoreItem xmlns:ds="http://schemas.openxmlformats.org/officeDocument/2006/customXml" ds:itemID="{5510B11F-E2CB-4442-896A-6A01527201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CA5410-75D1-45C4-AF36-1B450B5D295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Submissions - stakeholder feedback template</Template>
  <TotalTime>26</TotalTime>
  <Pages>5</Pages>
  <Words>933</Words>
  <Characters>4732</Characters>
  <Application>Microsoft Office Word</Application>
  <DocSecurity>0</DocSecurity>
  <Lines>236</Lines>
  <Paragraphs>91</Paragraphs>
  <ScaleCrop>false</ScaleCrop>
  <Company>Australian Energy Market Commission</Company>
  <LinksUpToDate>false</LinksUpToDate>
  <CharactersWithSpaces>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Chloe Skewes-Weir</dc:creator>
  <cp:lastModifiedBy>Chloe Skewes-Weir</cp:lastModifiedBy>
  <cp:revision>24</cp:revision>
  <cp:lastPrinted>2016-04-17T05:54:00Z</cp:lastPrinted>
  <dcterms:created xsi:type="dcterms:W3CDTF">2025-10-14T02:49:00Z</dcterms:created>
  <dcterms:modified xsi:type="dcterms:W3CDTF">2025-10-14T03:14:00Z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0x0101009B8378425D36E7458CAAF170B006AD2E</vt:lpwstr>
  </property>
  <property fmtid="{D5CDD505-2E9C-101B-9397-08002B2CF9AE}" pid="3" name="GrammarlyDocumentId">
    <vt:lpwstr>3608ce38-1c43-46b7-ac55-16f9867534c2</vt:lpwstr>
  </property>
  <property fmtid="{D5CDD505-2E9C-101B-9397-08002B2CF9AE}" pid="4" name="MediaServiceImageTags">
    <vt:lpwstr/>
  </property>
</Properties>
</file>