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0414" w14:textId="3FE8BF57" w:rsidR="00CF2D94" w:rsidRPr="00CF2D94" w:rsidRDefault="00446348" w:rsidP="00627B0D">
      <w:pPr>
        <w:pStyle w:val="AEMCHEADERL1"/>
        <w:outlineLvl w:val="0"/>
      </w:pPr>
      <w:r>
        <w:t>Implementing integrating energy storage systems</w:t>
      </w:r>
    </w:p>
    <w:p w14:paraId="4CCC4FA7" w14:textId="77777777" w:rsidR="00CF2D94" w:rsidRPr="00F73126" w:rsidRDefault="005E638A" w:rsidP="00627B0D">
      <w:pPr>
        <w:pStyle w:val="AEMCHeaderL2"/>
        <w:outlineLvl w:val="0"/>
        <w:rPr>
          <w:szCs w:val="36"/>
        </w:rPr>
      </w:pPr>
      <w:r>
        <w:t>stakeholder feedback template</w:t>
      </w:r>
    </w:p>
    <w:p w14:paraId="55189215" w14:textId="77777777" w:rsidR="00DD38E0" w:rsidRPr="000B63CE" w:rsidRDefault="008C6A18" w:rsidP="000C745C">
      <w:pPr>
        <w:pStyle w:val="AEMCBodyCopyIntroPara"/>
        <w:rPr>
          <w:rStyle w:val="Hyperlink"/>
          <w:sz w:val="20"/>
          <w:szCs w:val="24"/>
        </w:rPr>
      </w:pPr>
      <w:r w:rsidRPr="000B63CE">
        <w:rPr>
          <w:rStyle w:val="Hyperlink"/>
          <w:sz w:val="20"/>
          <w:szCs w:val="24"/>
        </w:rPr>
        <w:t xml:space="preserve">The template below has been developed to enable stakeholders to provide their feedback on the questions posed in </w:t>
      </w:r>
      <w:r w:rsidR="00C114E7" w:rsidRPr="000B63CE">
        <w:rPr>
          <w:rStyle w:val="Hyperlink"/>
          <w:sz w:val="20"/>
          <w:szCs w:val="24"/>
        </w:rPr>
        <w:t>the consultation</w:t>
      </w:r>
      <w:r w:rsidRPr="000B63CE">
        <w:rPr>
          <w:rStyle w:val="Hyperlink"/>
          <w:sz w:val="20"/>
          <w:szCs w:val="24"/>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2AA9165B"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53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862"/>
        <w:gridCol w:w="11674"/>
      </w:tblGrid>
      <w:tr w:rsidR="008C6A18" w:rsidRPr="000B63CE" w14:paraId="600E0DD1" w14:textId="77777777" w:rsidTr="00AC3CEB">
        <w:trPr>
          <w:trHeight w:val="429"/>
        </w:trPr>
        <w:tc>
          <w:tcPr>
            <w:tcW w:w="2862" w:type="dxa"/>
          </w:tcPr>
          <w:p w14:paraId="33CB7C06"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ORGANISATION:</w:t>
            </w:r>
          </w:p>
        </w:tc>
        <w:tc>
          <w:tcPr>
            <w:tcW w:w="11674" w:type="dxa"/>
          </w:tcPr>
          <w:p w14:paraId="2061B94A" w14:textId="1FAC27DD" w:rsidR="008C6A18" w:rsidRPr="000B63CE" w:rsidRDefault="008C6A18" w:rsidP="00785222">
            <w:pPr>
              <w:pStyle w:val="AEMCTableCopySubmitterDetails"/>
              <w:rPr>
                <w:rStyle w:val="Hyperlink"/>
                <w:sz w:val="20"/>
                <w:szCs w:val="20"/>
              </w:rPr>
            </w:pPr>
          </w:p>
        </w:tc>
      </w:tr>
      <w:tr w:rsidR="008C6A18" w:rsidRPr="000B63CE" w14:paraId="6B4F8F87" w14:textId="77777777" w:rsidTr="00AC3CEB">
        <w:trPr>
          <w:trHeight w:val="225"/>
        </w:trPr>
        <w:tc>
          <w:tcPr>
            <w:tcW w:w="2862" w:type="dxa"/>
          </w:tcPr>
          <w:p w14:paraId="16350523"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CONTACT NAME:</w:t>
            </w:r>
          </w:p>
        </w:tc>
        <w:tc>
          <w:tcPr>
            <w:tcW w:w="11674" w:type="dxa"/>
          </w:tcPr>
          <w:p w14:paraId="0B12CD02" w14:textId="2A821BEF" w:rsidR="008C6A18" w:rsidRPr="000B63CE" w:rsidRDefault="008C6A18" w:rsidP="00785222">
            <w:pPr>
              <w:pStyle w:val="AEMCTableCopySubmitterDetails"/>
              <w:rPr>
                <w:rStyle w:val="Hyperlink"/>
                <w:sz w:val="20"/>
                <w:szCs w:val="20"/>
              </w:rPr>
            </w:pPr>
          </w:p>
        </w:tc>
      </w:tr>
      <w:tr w:rsidR="008C6A18" w:rsidRPr="000B63CE" w14:paraId="321C960B" w14:textId="77777777" w:rsidTr="00AC3CEB">
        <w:trPr>
          <w:trHeight w:val="429"/>
        </w:trPr>
        <w:tc>
          <w:tcPr>
            <w:tcW w:w="2862" w:type="dxa"/>
          </w:tcPr>
          <w:p w14:paraId="66422B05"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EMAIL:</w:t>
            </w:r>
          </w:p>
        </w:tc>
        <w:tc>
          <w:tcPr>
            <w:tcW w:w="11674" w:type="dxa"/>
          </w:tcPr>
          <w:p w14:paraId="13795E1F" w14:textId="0CEAD7C3" w:rsidR="008C6A18" w:rsidRPr="000B63CE" w:rsidRDefault="008C6A18" w:rsidP="006C4137">
            <w:pPr>
              <w:pStyle w:val="AEMCTableCopySubmitterDetails"/>
              <w:tabs>
                <w:tab w:val="left" w:pos="989"/>
              </w:tabs>
              <w:rPr>
                <w:rStyle w:val="Hyperlink"/>
                <w:sz w:val="20"/>
                <w:szCs w:val="20"/>
              </w:rPr>
            </w:pPr>
          </w:p>
        </w:tc>
      </w:tr>
      <w:tr w:rsidR="008C6A18" w:rsidRPr="000B63CE" w14:paraId="673BCC5A" w14:textId="77777777" w:rsidTr="00AC3CEB">
        <w:trPr>
          <w:trHeight w:val="416"/>
        </w:trPr>
        <w:tc>
          <w:tcPr>
            <w:tcW w:w="2862" w:type="dxa"/>
          </w:tcPr>
          <w:p w14:paraId="0DB4E21D"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PHONE:</w:t>
            </w:r>
          </w:p>
        </w:tc>
        <w:tc>
          <w:tcPr>
            <w:tcW w:w="11674" w:type="dxa"/>
          </w:tcPr>
          <w:p w14:paraId="6F533C43" w14:textId="28641867" w:rsidR="008C6A18" w:rsidRPr="000B63CE" w:rsidRDefault="008C6A18" w:rsidP="00785222">
            <w:pPr>
              <w:pStyle w:val="AEMCTableCopySubmitterDetails"/>
              <w:rPr>
                <w:rStyle w:val="Hyperlink"/>
                <w:sz w:val="20"/>
                <w:szCs w:val="20"/>
              </w:rPr>
            </w:pPr>
          </w:p>
        </w:tc>
      </w:tr>
      <w:tr w:rsidR="00C114E7" w:rsidRPr="000B63CE" w14:paraId="2041D2C8" w14:textId="77777777" w:rsidTr="00AC3CEB">
        <w:trPr>
          <w:trHeight w:val="429"/>
        </w:trPr>
        <w:tc>
          <w:tcPr>
            <w:tcW w:w="2862" w:type="dxa"/>
          </w:tcPr>
          <w:p w14:paraId="7C1B75D4" w14:textId="77777777" w:rsidR="00C114E7" w:rsidRPr="000B63CE" w:rsidRDefault="00C114E7" w:rsidP="000C745C">
            <w:pPr>
              <w:pStyle w:val="AEMCTableCopySubmitterDetails"/>
              <w:rPr>
                <w:rStyle w:val="Hyperlink"/>
                <w:b/>
                <w:sz w:val="20"/>
                <w:szCs w:val="20"/>
              </w:rPr>
            </w:pPr>
            <w:r w:rsidRPr="000B63CE">
              <w:rPr>
                <w:rStyle w:val="Hyperlink"/>
                <w:b/>
                <w:sz w:val="20"/>
                <w:szCs w:val="20"/>
              </w:rPr>
              <w:t>DATE</w:t>
            </w:r>
          </w:p>
        </w:tc>
        <w:tc>
          <w:tcPr>
            <w:tcW w:w="11674" w:type="dxa"/>
          </w:tcPr>
          <w:p w14:paraId="44843DC0" w14:textId="2308E29D" w:rsidR="00C114E7" w:rsidRPr="000B63CE" w:rsidRDefault="00C114E7" w:rsidP="00785222">
            <w:pPr>
              <w:pStyle w:val="AEMCTableCopySubmitterDetails"/>
              <w:rPr>
                <w:rStyle w:val="Hyperlink"/>
                <w:sz w:val="20"/>
                <w:szCs w:val="20"/>
              </w:rPr>
            </w:pPr>
          </w:p>
        </w:tc>
      </w:tr>
    </w:tbl>
    <w:p w14:paraId="184008F1" w14:textId="77777777" w:rsidR="00C114E7" w:rsidRDefault="00C114E7" w:rsidP="00C114E7">
      <w:pPr>
        <w:pStyle w:val="AEMCHeaderL3"/>
        <w:rPr>
          <w:rStyle w:val="Hyperlink"/>
        </w:rPr>
      </w:pPr>
    </w:p>
    <w:p w14:paraId="6BA3C78F"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1454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864"/>
        <w:gridCol w:w="11682"/>
      </w:tblGrid>
      <w:tr w:rsidR="00C114E7" w:rsidRPr="000B63CE" w14:paraId="2D871813" w14:textId="77777777" w:rsidTr="00AC3CEB">
        <w:trPr>
          <w:trHeight w:val="198"/>
        </w:trPr>
        <w:tc>
          <w:tcPr>
            <w:tcW w:w="2864" w:type="dxa"/>
          </w:tcPr>
          <w:p w14:paraId="052BBA21"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NAME OF RULE CHANGE:</w:t>
            </w:r>
          </w:p>
        </w:tc>
        <w:tc>
          <w:tcPr>
            <w:tcW w:w="11682" w:type="dxa"/>
          </w:tcPr>
          <w:p w14:paraId="79903D28" w14:textId="32752E3F" w:rsidR="00C114E7" w:rsidRPr="00900F2A" w:rsidRDefault="00924731" w:rsidP="001926E2">
            <w:pPr>
              <w:pStyle w:val="AEMCTableCopySubmitterDetails"/>
              <w:rPr>
                <w:rStyle w:val="Hyperlink"/>
                <w:bCs/>
                <w:sz w:val="20"/>
                <w:szCs w:val="20"/>
              </w:rPr>
            </w:pPr>
            <w:r w:rsidRPr="00900F2A">
              <w:rPr>
                <w:rStyle w:val="Hyperlink"/>
                <w:bCs/>
                <w:sz w:val="20"/>
                <w:szCs w:val="20"/>
              </w:rPr>
              <w:t>Implementing integrated energy storage systems</w:t>
            </w:r>
          </w:p>
        </w:tc>
      </w:tr>
      <w:tr w:rsidR="00C114E7" w:rsidRPr="000B63CE" w14:paraId="0C0F3BAE" w14:textId="77777777" w:rsidTr="00AC3CEB">
        <w:trPr>
          <w:trHeight w:val="198"/>
        </w:trPr>
        <w:tc>
          <w:tcPr>
            <w:tcW w:w="2864" w:type="dxa"/>
          </w:tcPr>
          <w:p w14:paraId="32B36426"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PROJECT CODE:</w:t>
            </w:r>
          </w:p>
        </w:tc>
        <w:tc>
          <w:tcPr>
            <w:tcW w:w="11682" w:type="dxa"/>
          </w:tcPr>
          <w:p w14:paraId="2715D814" w14:textId="3BBE8F55" w:rsidR="00C114E7" w:rsidRPr="000B63CE" w:rsidRDefault="00446348" w:rsidP="001926E2">
            <w:pPr>
              <w:pStyle w:val="AEMCTableCopySubmitterDetails"/>
              <w:rPr>
                <w:rStyle w:val="Hyperlink"/>
                <w:sz w:val="20"/>
                <w:szCs w:val="20"/>
              </w:rPr>
            </w:pPr>
            <w:r>
              <w:rPr>
                <w:rStyle w:val="Hyperlink"/>
                <w:sz w:val="20"/>
                <w:szCs w:val="20"/>
              </w:rPr>
              <w:t>ERC0351</w:t>
            </w:r>
          </w:p>
        </w:tc>
      </w:tr>
      <w:tr w:rsidR="00C114E7" w:rsidRPr="000B63CE" w14:paraId="77D64F22" w14:textId="77777777" w:rsidTr="00AC3CEB">
        <w:trPr>
          <w:trHeight w:val="198"/>
        </w:trPr>
        <w:tc>
          <w:tcPr>
            <w:tcW w:w="2864" w:type="dxa"/>
          </w:tcPr>
          <w:p w14:paraId="3F712F78"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PROPONENT:</w:t>
            </w:r>
          </w:p>
        </w:tc>
        <w:tc>
          <w:tcPr>
            <w:tcW w:w="11682" w:type="dxa"/>
          </w:tcPr>
          <w:p w14:paraId="7436DD57" w14:textId="3636A85C" w:rsidR="00C114E7" w:rsidRPr="000B63CE" w:rsidRDefault="00924731" w:rsidP="001926E2">
            <w:pPr>
              <w:pStyle w:val="AEMCTableCopySubmitterDetails"/>
              <w:rPr>
                <w:rStyle w:val="Hyperlink"/>
                <w:sz w:val="20"/>
                <w:szCs w:val="20"/>
              </w:rPr>
            </w:pPr>
            <w:r>
              <w:rPr>
                <w:rStyle w:val="Hyperlink"/>
                <w:sz w:val="20"/>
                <w:szCs w:val="20"/>
              </w:rPr>
              <w:t>AEMO</w:t>
            </w:r>
            <w:r w:rsidR="00410C80" w:rsidRPr="000B63CE">
              <w:rPr>
                <w:rStyle w:val="Hyperlink"/>
                <w:sz w:val="20"/>
                <w:szCs w:val="20"/>
              </w:rPr>
              <w:t xml:space="preserve"> </w:t>
            </w:r>
          </w:p>
        </w:tc>
      </w:tr>
      <w:tr w:rsidR="00C114E7" w:rsidRPr="000B63CE" w14:paraId="4D9FEB6F" w14:textId="77777777" w:rsidTr="00AC3CEB">
        <w:trPr>
          <w:trHeight w:val="198"/>
        </w:trPr>
        <w:tc>
          <w:tcPr>
            <w:tcW w:w="2864" w:type="dxa"/>
          </w:tcPr>
          <w:p w14:paraId="73A6C75B"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SUBMISSION DUE DATE:</w:t>
            </w:r>
          </w:p>
        </w:tc>
        <w:tc>
          <w:tcPr>
            <w:tcW w:w="11682" w:type="dxa"/>
          </w:tcPr>
          <w:p w14:paraId="603ADF93" w14:textId="161AFD5D" w:rsidR="00C114E7" w:rsidRPr="000B63CE" w:rsidRDefault="00924731" w:rsidP="001926E2">
            <w:pPr>
              <w:pStyle w:val="AEMCTableCopySubmitterDetails"/>
              <w:rPr>
                <w:rStyle w:val="Hyperlink"/>
                <w:sz w:val="20"/>
                <w:szCs w:val="20"/>
              </w:rPr>
            </w:pPr>
            <w:r>
              <w:rPr>
                <w:rStyle w:val="Hyperlink"/>
                <w:sz w:val="20"/>
                <w:szCs w:val="20"/>
              </w:rPr>
              <w:t>30 March 2023</w:t>
            </w:r>
          </w:p>
        </w:tc>
      </w:tr>
    </w:tbl>
    <w:p w14:paraId="63CD0548" w14:textId="77777777" w:rsidR="00DC470C" w:rsidRDefault="00DC470C" w:rsidP="00283258">
      <w:pPr>
        <w:pStyle w:val="AEMCHeaderL4"/>
        <w:rPr>
          <w:rStyle w:val="Hyperlink"/>
          <w:b/>
        </w:rPr>
      </w:pPr>
    </w:p>
    <w:p w14:paraId="0066282A" w14:textId="77777777" w:rsidR="00900F2A" w:rsidRPr="00900F2A" w:rsidRDefault="00900F2A" w:rsidP="00900F2A">
      <w:pPr>
        <w:pStyle w:val="AEMCBodyCopy"/>
      </w:pPr>
    </w:p>
    <w:p w14:paraId="58F8A691" w14:textId="1DECDB7D" w:rsidR="00283258" w:rsidRPr="008A4886" w:rsidRDefault="00283258" w:rsidP="00283258">
      <w:pPr>
        <w:pStyle w:val="AEMCHeaderL4"/>
        <w:rPr>
          <w:rStyle w:val="Hyperlink"/>
        </w:rPr>
      </w:pPr>
      <w:r>
        <w:rPr>
          <w:rStyle w:val="Hyperlink"/>
          <w:b/>
        </w:rPr>
        <w:lastRenderedPageBreak/>
        <w:t xml:space="preserve">Question </w:t>
      </w:r>
      <w:r w:rsidR="00BE0E20">
        <w:rPr>
          <w:rStyle w:val="Hyperlink"/>
          <w:b/>
        </w:rPr>
        <w:t>1</w:t>
      </w:r>
      <w:r>
        <w:rPr>
          <w:rStyle w:val="Hyperlink"/>
          <w:b/>
        </w:rPr>
        <w:t xml:space="preserve"> – chapter </w:t>
      </w:r>
      <w:r w:rsidR="00174D7A">
        <w:rPr>
          <w:rStyle w:val="Hyperlink"/>
          <w:b/>
        </w:rPr>
        <w:t>2</w:t>
      </w:r>
      <w:r>
        <w:rPr>
          <w:rStyle w:val="Hyperlink"/>
          <w:b/>
        </w:rPr>
        <w:t xml:space="preserve"> </w:t>
      </w:r>
      <w:r w:rsidR="00C92BB3" w:rsidRPr="008A4886">
        <w:rPr>
          <w:rStyle w:val="Hyperlink"/>
        </w:rPr>
        <w:t xml:space="preserve">– </w:t>
      </w:r>
      <w:r w:rsidR="00480E76">
        <w:t>Include generating systems in aggregated dispatch conformance </w:t>
      </w:r>
      <w:r>
        <w:rPr>
          <w:rStyle w:val="Hyperlink"/>
        </w:rPr>
        <w:t xml:space="preserve"> </w:t>
      </w:r>
    </w:p>
    <w:tbl>
      <w:tblPr>
        <w:tblStyle w:val="TableGrid"/>
        <w:tblW w:w="1460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19"/>
        <w:gridCol w:w="9082"/>
      </w:tblGrid>
      <w:tr w:rsidR="0062302A" w:rsidRPr="0000465F" w14:paraId="4B076057" w14:textId="77777777" w:rsidTr="00656898">
        <w:trPr>
          <w:trHeight w:val="522"/>
        </w:trPr>
        <w:tc>
          <w:tcPr>
            <w:tcW w:w="5519" w:type="dxa"/>
            <w:tcBorders>
              <w:top w:val="single" w:sz="18" w:space="0" w:color="00A8E5" w:themeColor="accent1"/>
              <w:right w:val="single" w:sz="2" w:space="0" w:color="58595B" w:themeColor="accent4"/>
            </w:tcBorders>
            <w:shd w:val="clear" w:color="auto" w:fill="F6F6F6"/>
          </w:tcPr>
          <w:p w14:paraId="561ADFE4" w14:textId="1331E641" w:rsidR="0062302A" w:rsidRPr="0000465F" w:rsidRDefault="0062302A" w:rsidP="0062302A">
            <w:pPr>
              <w:pStyle w:val="AEMCTableBodyCopy"/>
              <w:numPr>
                <w:ilvl w:val="0"/>
                <w:numId w:val="6"/>
              </w:numPr>
              <w:rPr>
                <w:rStyle w:val="Hyperlink"/>
              </w:rPr>
            </w:pPr>
            <w:r w:rsidRPr="00FA5FBD">
              <w:t>Does the rule change address the problem?</w:t>
            </w:r>
          </w:p>
        </w:tc>
        <w:tc>
          <w:tcPr>
            <w:tcW w:w="9082" w:type="dxa"/>
            <w:tcBorders>
              <w:top w:val="single" w:sz="18" w:space="0" w:color="00A8E5" w:themeColor="accent1"/>
              <w:left w:val="single" w:sz="2" w:space="0" w:color="58595B" w:themeColor="accent4"/>
            </w:tcBorders>
          </w:tcPr>
          <w:p w14:paraId="600C1826" w14:textId="1F91D5B7" w:rsidR="0062302A" w:rsidRPr="00785222" w:rsidRDefault="0062302A" w:rsidP="0062302A">
            <w:pPr>
              <w:pStyle w:val="AEMCTableBodyCopy"/>
              <w:rPr>
                <w:rStyle w:val="Hyperlink"/>
              </w:rPr>
            </w:pPr>
          </w:p>
        </w:tc>
      </w:tr>
      <w:tr w:rsidR="0062302A" w:rsidRPr="0000465F" w14:paraId="6655737B" w14:textId="77777777" w:rsidTr="00656898">
        <w:trPr>
          <w:trHeight w:val="533"/>
        </w:trPr>
        <w:tc>
          <w:tcPr>
            <w:tcW w:w="5519" w:type="dxa"/>
            <w:tcBorders>
              <w:right w:val="single" w:sz="2" w:space="0" w:color="58595B" w:themeColor="accent4"/>
            </w:tcBorders>
            <w:shd w:val="clear" w:color="auto" w:fill="F6F6F6"/>
          </w:tcPr>
          <w:p w14:paraId="7507D114" w14:textId="4C37CD29" w:rsidR="0062302A" w:rsidRPr="0000465F" w:rsidRDefault="0062302A" w:rsidP="0062302A">
            <w:pPr>
              <w:pStyle w:val="AEMCTableBodyCopy"/>
              <w:numPr>
                <w:ilvl w:val="0"/>
                <w:numId w:val="6"/>
              </w:numPr>
              <w:rPr>
                <w:rStyle w:val="Hyperlink"/>
              </w:rPr>
            </w:pPr>
            <w:r w:rsidRPr="00FA5FBD">
              <w:t>Do you agree with AEMO’s identification of the problem?</w:t>
            </w:r>
          </w:p>
        </w:tc>
        <w:tc>
          <w:tcPr>
            <w:tcW w:w="9082" w:type="dxa"/>
            <w:tcBorders>
              <w:left w:val="single" w:sz="2" w:space="0" w:color="58595B" w:themeColor="accent4"/>
            </w:tcBorders>
          </w:tcPr>
          <w:p w14:paraId="47ECE68C" w14:textId="38C090EB" w:rsidR="0062302A" w:rsidRPr="00785222" w:rsidRDefault="0062302A" w:rsidP="0062302A">
            <w:pPr>
              <w:pStyle w:val="AEMCTableBodyCopy"/>
              <w:rPr>
                <w:rStyle w:val="Hyperlink"/>
              </w:rPr>
            </w:pPr>
          </w:p>
        </w:tc>
      </w:tr>
      <w:tr w:rsidR="0062302A" w:rsidRPr="0000465F" w14:paraId="52F2D375" w14:textId="77777777" w:rsidTr="00656898">
        <w:trPr>
          <w:trHeight w:val="533"/>
        </w:trPr>
        <w:tc>
          <w:tcPr>
            <w:tcW w:w="5519" w:type="dxa"/>
            <w:tcBorders>
              <w:right w:val="single" w:sz="2" w:space="0" w:color="58595B" w:themeColor="accent4"/>
            </w:tcBorders>
            <w:shd w:val="clear" w:color="auto" w:fill="F6F6F6"/>
          </w:tcPr>
          <w:p w14:paraId="56AC4165" w14:textId="22B61983" w:rsidR="0062302A" w:rsidRDefault="0062302A" w:rsidP="0062302A">
            <w:pPr>
              <w:pStyle w:val="AEMCTableBodyCopy"/>
              <w:numPr>
                <w:ilvl w:val="0"/>
                <w:numId w:val="6"/>
              </w:numPr>
            </w:pPr>
            <w:r w:rsidRPr="00FA5FBD">
              <w:rPr>
                <w:rStyle w:val="commented"/>
                <w:color w:val="000000"/>
              </w:rPr>
              <w:t>If the IESS rule remains unchanged,</w:t>
            </w:r>
            <w:r>
              <w:rPr>
                <w:rStyle w:val="commented"/>
                <w:color w:val="000000"/>
              </w:rPr>
              <w:t xml:space="preserve"> </w:t>
            </w:r>
            <w:r w:rsidRPr="00FA5FBD">
              <w:rPr>
                <w:rStyle w:val="commented"/>
                <w:color w:val="000000"/>
              </w:rPr>
              <w:t>w</w:t>
            </w:r>
            <w:r w:rsidRPr="00FA5FBD">
              <w:rPr>
                <w:rStyle w:val="commented"/>
              </w:rPr>
              <w:t xml:space="preserve">hat is the impact of </w:t>
            </w:r>
            <w:r w:rsidRPr="00FA5FBD">
              <w:rPr>
                <w:rStyle w:val="commented"/>
                <w:color w:val="000000"/>
              </w:rPr>
              <w:t>its</w:t>
            </w:r>
            <w:r w:rsidRPr="00FA5FBD">
              <w:rPr>
                <w:rStyle w:val="commented"/>
              </w:rPr>
              <w:t xml:space="preserve"> implementation on the form of ADC that AEMO already facilitates?</w:t>
            </w:r>
          </w:p>
        </w:tc>
        <w:tc>
          <w:tcPr>
            <w:tcW w:w="9082" w:type="dxa"/>
            <w:tcBorders>
              <w:left w:val="single" w:sz="2" w:space="0" w:color="58595B" w:themeColor="accent4"/>
            </w:tcBorders>
          </w:tcPr>
          <w:p w14:paraId="295592F0" w14:textId="77777777" w:rsidR="0062302A" w:rsidRPr="00785222" w:rsidRDefault="0062302A" w:rsidP="0062302A">
            <w:pPr>
              <w:pStyle w:val="AEMCTableBodyCopy"/>
              <w:rPr>
                <w:rStyle w:val="Hyperlink"/>
              </w:rPr>
            </w:pPr>
          </w:p>
        </w:tc>
      </w:tr>
      <w:tr w:rsidR="0062302A" w:rsidRPr="0000465F" w14:paraId="167378F0" w14:textId="77777777" w:rsidTr="00656898">
        <w:trPr>
          <w:trHeight w:val="533"/>
        </w:trPr>
        <w:tc>
          <w:tcPr>
            <w:tcW w:w="5519" w:type="dxa"/>
            <w:tcBorders>
              <w:right w:val="single" w:sz="2" w:space="0" w:color="58595B" w:themeColor="accent4"/>
            </w:tcBorders>
            <w:shd w:val="clear" w:color="auto" w:fill="F6F6F6"/>
          </w:tcPr>
          <w:p w14:paraId="3DB25642" w14:textId="200DE6FE" w:rsidR="0062302A" w:rsidRDefault="0062302A" w:rsidP="0062302A">
            <w:pPr>
              <w:pStyle w:val="AEMCTableBodyCopy"/>
              <w:numPr>
                <w:ilvl w:val="0"/>
                <w:numId w:val="6"/>
              </w:numPr>
            </w:pPr>
            <w:r w:rsidRPr="00FA5FBD">
              <w:t>New clause 4.9.2A of the IESS rule allows aggregation of integrated resource systems with more than one connection point. AEMO’s new power system operating procedure only allows ADC where the generating units are behind a single connection point. What would be the market or operational impacts of extending ADC under clause 4.9.2A to generating systems with more than one connection point?</w:t>
            </w:r>
          </w:p>
        </w:tc>
        <w:tc>
          <w:tcPr>
            <w:tcW w:w="9082" w:type="dxa"/>
            <w:tcBorders>
              <w:left w:val="single" w:sz="2" w:space="0" w:color="58595B" w:themeColor="accent4"/>
            </w:tcBorders>
          </w:tcPr>
          <w:p w14:paraId="7DA3F824" w14:textId="77777777" w:rsidR="0062302A" w:rsidRPr="00785222" w:rsidRDefault="0062302A" w:rsidP="0062302A">
            <w:pPr>
              <w:pStyle w:val="AEMCTableBodyCopy"/>
              <w:rPr>
                <w:rStyle w:val="Hyperlink"/>
              </w:rPr>
            </w:pPr>
          </w:p>
        </w:tc>
      </w:tr>
      <w:tr w:rsidR="0062302A" w:rsidRPr="0000465F" w14:paraId="04AD7F76" w14:textId="77777777" w:rsidTr="00656898">
        <w:trPr>
          <w:trHeight w:val="533"/>
        </w:trPr>
        <w:tc>
          <w:tcPr>
            <w:tcW w:w="5519" w:type="dxa"/>
            <w:tcBorders>
              <w:right w:val="single" w:sz="2" w:space="0" w:color="58595B" w:themeColor="accent4"/>
            </w:tcBorders>
            <w:shd w:val="clear" w:color="auto" w:fill="F6F6F6"/>
          </w:tcPr>
          <w:p w14:paraId="51A32C23" w14:textId="11AAD1BB" w:rsidR="0062302A" w:rsidRDefault="0062302A" w:rsidP="0062302A">
            <w:pPr>
              <w:pStyle w:val="AEMCTableBodyCopy"/>
              <w:numPr>
                <w:ilvl w:val="0"/>
                <w:numId w:val="6"/>
              </w:numPr>
            </w:pPr>
            <w:r w:rsidRPr="00FA5FBD">
              <w:t>Would the proposed change create any negative consequences related to the existing forms of aggregated dispatch?</w:t>
            </w:r>
          </w:p>
        </w:tc>
        <w:tc>
          <w:tcPr>
            <w:tcW w:w="9082" w:type="dxa"/>
            <w:tcBorders>
              <w:left w:val="single" w:sz="2" w:space="0" w:color="58595B" w:themeColor="accent4"/>
            </w:tcBorders>
          </w:tcPr>
          <w:p w14:paraId="7BE11347" w14:textId="77777777" w:rsidR="0062302A" w:rsidRPr="00785222" w:rsidRDefault="0062302A" w:rsidP="0062302A">
            <w:pPr>
              <w:pStyle w:val="AEMCTableBodyCopy"/>
              <w:rPr>
                <w:rStyle w:val="Hyperlink"/>
              </w:rPr>
            </w:pPr>
          </w:p>
        </w:tc>
      </w:tr>
      <w:tr w:rsidR="0062302A" w:rsidRPr="0000465F" w14:paraId="558A5ECD" w14:textId="77777777" w:rsidTr="00656898">
        <w:trPr>
          <w:trHeight w:val="533"/>
        </w:trPr>
        <w:tc>
          <w:tcPr>
            <w:tcW w:w="5519" w:type="dxa"/>
            <w:tcBorders>
              <w:right w:val="single" w:sz="2" w:space="0" w:color="58595B" w:themeColor="accent4"/>
            </w:tcBorders>
            <w:shd w:val="clear" w:color="auto" w:fill="F6F6F6"/>
          </w:tcPr>
          <w:p w14:paraId="78B3553E" w14:textId="6E16A3D5" w:rsidR="0062302A" w:rsidRDefault="0062302A" w:rsidP="0062302A">
            <w:pPr>
              <w:pStyle w:val="AEMCTableBodyCopy"/>
              <w:numPr>
                <w:ilvl w:val="0"/>
                <w:numId w:val="6"/>
              </w:numPr>
            </w:pPr>
            <w:r w:rsidRPr="00FA5FBD">
              <w:t>What would the operational implications or costs be for not making the change to include generating systems in new clause 4.9.2A of the NER?</w:t>
            </w:r>
          </w:p>
        </w:tc>
        <w:tc>
          <w:tcPr>
            <w:tcW w:w="9082" w:type="dxa"/>
            <w:tcBorders>
              <w:left w:val="single" w:sz="2" w:space="0" w:color="58595B" w:themeColor="accent4"/>
            </w:tcBorders>
          </w:tcPr>
          <w:p w14:paraId="12DA2356" w14:textId="77777777" w:rsidR="0062302A" w:rsidRPr="00785222" w:rsidRDefault="0062302A" w:rsidP="0062302A">
            <w:pPr>
              <w:pStyle w:val="AEMCTableBodyCopy"/>
              <w:rPr>
                <w:rStyle w:val="Hyperlink"/>
              </w:rPr>
            </w:pPr>
          </w:p>
        </w:tc>
      </w:tr>
      <w:tr w:rsidR="0062302A" w:rsidRPr="0000465F" w14:paraId="259C9F05" w14:textId="77777777" w:rsidTr="00656898">
        <w:trPr>
          <w:trHeight w:val="533"/>
        </w:trPr>
        <w:tc>
          <w:tcPr>
            <w:tcW w:w="5519" w:type="dxa"/>
            <w:tcBorders>
              <w:right w:val="single" w:sz="2" w:space="0" w:color="58595B" w:themeColor="accent4"/>
            </w:tcBorders>
            <w:shd w:val="clear" w:color="auto" w:fill="F6F6F6"/>
          </w:tcPr>
          <w:p w14:paraId="381BBCEF" w14:textId="77777777" w:rsidR="0062302A" w:rsidRDefault="0062302A" w:rsidP="0062302A">
            <w:pPr>
              <w:pStyle w:val="AEMCTableBodyCopy"/>
              <w:numPr>
                <w:ilvl w:val="0"/>
                <w:numId w:val="6"/>
              </w:numPr>
            </w:pPr>
            <w:r w:rsidRPr="00FA5FBD">
              <w:t>Does the proposed change:</w:t>
            </w:r>
          </w:p>
          <w:p w14:paraId="76766618" w14:textId="77777777" w:rsidR="0062302A" w:rsidRDefault="0062302A" w:rsidP="0062302A">
            <w:pPr>
              <w:pStyle w:val="AEMCTableBodyCopy"/>
              <w:numPr>
                <w:ilvl w:val="1"/>
                <w:numId w:val="6"/>
              </w:numPr>
            </w:pPr>
            <w:r w:rsidRPr="00FA5FBD">
              <w:rPr>
                <w:rStyle w:val="proofreader-typo"/>
              </w:rPr>
              <w:t>reduce</w:t>
            </w:r>
            <w:r w:rsidRPr="00FA5FBD">
              <w:t xml:space="preserve"> the cost and complexity of implementing the IESS rule?</w:t>
            </w:r>
          </w:p>
          <w:p w14:paraId="635D296C" w14:textId="77777777" w:rsidR="0062302A" w:rsidRDefault="0062302A" w:rsidP="0062302A">
            <w:pPr>
              <w:pStyle w:val="AEMCTableBodyCopy"/>
              <w:numPr>
                <w:ilvl w:val="1"/>
                <w:numId w:val="6"/>
              </w:numPr>
            </w:pPr>
            <w:r w:rsidRPr="00FA5FBD">
              <w:rPr>
                <w:rStyle w:val="proofreader-typo"/>
              </w:rPr>
              <w:t>reduce</w:t>
            </w:r>
            <w:r w:rsidRPr="00FA5FBD">
              <w:t xml:space="preserve"> market uncertainty</w:t>
            </w:r>
            <w:r>
              <w:t>?</w:t>
            </w:r>
          </w:p>
          <w:p w14:paraId="2D37EE6D" w14:textId="3D2E4A17" w:rsidR="0062302A" w:rsidRDefault="0062302A" w:rsidP="0062302A">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9082" w:type="dxa"/>
            <w:tcBorders>
              <w:left w:val="single" w:sz="2" w:space="0" w:color="58595B" w:themeColor="accent4"/>
            </w:tcBorders>
          </w:tcPr>
          <w:p w14:paraId="55C29A0C" w14:textId="77777777" w:rsidR="0062302A" w:rsidRPr="00785222" w:rsidRDefault="0062302A" w:rsidP="0062302A">
            <w:pPr>
              <w:pStyle w:val="AEMCTableBodyCopy"/>
              <w:rPr>
                <w:rStyle w:val="Hyperlink"/>
              </w:rPr>
            </w:pPr>
          </w:p>
        </w:tc>
      </w:tr>
      <w:tr w:rsidR="0062302A" w:rsidRPr="0000465F" w14:paraId="098BDDF3" w14:textId="77777777" w:rsidTr="00656898">
        <w:trPr>
          <w:trHeight w:val="533"/>
        </w:trPr>
        <w:tc>
          <w:tcPr>
            <w:tcW w:w="5519" w:type="dxa"/>
            <w:tcBorders>
              <w:right w:val="single" w:sz="2" w:space="0" w:color="58595B" w:themeColor="accent4"/>
            </w:tcBorders>
            <w:shd w:val="clear" w:color="auto" w:fill="F6F6F6"/>
          </w:tcPr>
          <w:p w14:paraId="4498B75C" w14:textId="3BA07745" w:rsidR="0062302A" w:rsidRPr="00D12F5F" w:rsidRDefault="0062302A" w:rsidP="0062302A">
            <w:pPr>
              <w:pStyle w:val="AEMCTableBodyCopy"/>
              <w:numPr>
                <w:ilvl w:val="0"/>
                <w:numId w:val="6"/>
              </w:numPr>
              <w:rPr>
                <w:rStyle w:val="proofreader-typo"/>
              </w:rPr>
            </w:pPr>
            <w:r w:rsidRPr="00FA5FBD">
              <w:t>Are there other solutions that would better solve the problem?</w:t>
            </w:r>
          </w:p>
        </w:tc>
        <w:tc>
          <w:tcPr>
            <w:tcW w:w="9082" w:type="dxa"/>
            <w:tcBorders>
              <w:left w:val="single" w:sz="2" w:space="0" w:color="58595B" w:themeColor="accent4"/>
            </w:tcBorders>
          </w:tcPr>
          <w:p w14:paraId="31BF0E14" w14:textId="77777777" w:rsidR="0062302A" w:rsidRPr="00785222" w:rsidRDefault="0062302A" w:rsidP="0062302A">
            <w:pPr>
              <w:pStyle w:val="AEMCTableBodyCopy"/>
              <w:rPr>
                <w:rStyle w:val="Hyperlink"/>
              </w:rPr>
            </w:pPr>
          </w:p>
        </w:tc>
      </w:tr>
    </w:tbl>
    <w:p w14:paraId="73DA059E" w14:textId="77777777" w:rsidR="00900F2A" w:rsidRDefault="00900F2A" w:rsidP="003C253A">
      <w:pPr>
        <w:pStyle w:val="AEMCHeaderL4"/>
        <w:rPr>
          <w:rStyle w:val="Hyperlink"/>
          <w:b/>
        </w:rPr>
      </w:pPr>
    </w:p>
    <w:p w14:paraId="0C6F62E3" w14:textId="77777777" w:rsidR="00DB7119" w:rsidRPr="008A4886" w:rsidRDefault="00DB7119" w:rsidP="00DB7119">
      <w:pPr>
        <w:pStyle w:val="AEMCHeaderL4"/>
        <w:rPr>
          <w:rStyle w:val="Hyperlink"/>
        </w:rPr>
      </w:pPr>
      <w:r>
        <w:rPr>
          <w:rStyle w:val="Hyperlink"/>
          <w:b/>
        </w:rPr>
        <w:lastRenderedPageBreak/>
        <w:t xml:space="preserve">Question 2 – chapter 3 </w:t>
      </w:r>
      <w:r w:rsidRPr="008A4886">
        <w:rPr>
          <w:rStyle w:val="Hyperlink"/>
        </w:rPr>
        <w:t xml:space="preserve">– </w:t>
      </w:r>
      <w:r>
        <w:t>Remove option for semi-scheduled and bi-directional units to submit fast-start inflexibility profiles</w:t>
      </w:r>
    </w:p>
    <w:tbl>
      <w:tblPr>
        <w:tblStyle w:val="TableGrid"/>
        <w:tblW w:w="1460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064"/>
      </w:tblGrid>
      <w:tr w:rsidR="00DB7119" w:rsidRPr="0000465F" w14:paraId="5DC28955" w14:textId="77777777" w:rsidTr="00DB7119">
        <w:trPr>
          <w:trHeight w:val="1046"/>
        </w:trPr>
        <w:tc>
          <w:tcPr>
            <w:tcW w:w="5537" w:type="dxa"/>
            <w:tcBorders>
              <w:top w:val="single" w:sz="18" w:space="0" w:color="00A8E5" w:themeColor="accent1"/>
              <w:right w:val="single" w:sz="2" w:space="0" w:color="58595B" w:themeColor="accent4"/>
            </w:tcBorders>
            <w:shd w:val="clear" w:color="auto" w:fill="F6F6F6"/>
          </w:tcPr>
          <w:p w14:paraId="690EF590" w14:textId="5B389D50" w:rsidR="00DB7119" w:rsidRPr="0000465F" w:rsidRDefault="00DB7119" w:rsidP="00DB7119">
            <w:pPr>
              <w:pStyle w:val="AEMCTableBodyCopyNumbers"/>
              <w:numPr>
                <w:ilvl w:val="0"/>
                <w:numId w:val="0"/>
              </w:numPr>
              <w:ind w:left="284" w:hanging="284"/>
              <w:rPr>
                <w:rStyle w:val="Hyperlink"/>
              </w:rPr>
            </w:pPr>
            <w:r w:rsidRPr="004901AA">
              <w:t>Do you consider that excluding semi-scheduled generating units from submitting FSIPs is a material problem, now or in the future?</w:t>
            </w:r>
          </w:p>
        </w:tc>
        <w:tc>
          <w:tcPr>
            <w:tcW w:w="9064" w:type="dxa"/>
            <w:tcBorders>
              <w:top w:val="single" w:sz="18" w:space="0" w:color="00A8E5" w:themeColor="accent1"/>
              <w:left w:val="single" w:sz="2" w:space="0" w:color="58595B" w:themeColor="accent4"/>
            </w:tcBorders>
          </w:tcPr>
          <w:p w14:paraId="04697BE4" w14:textId="77777777" w:rsidR="00DB7119" w:rsidRPr="00785222" w:rsidRDefault="00DB7119" w:rsidP="00DB7119">
            <w:pPr>
              <w:pStyle w:val="AEMCTableBodyCopy"/>
              <w:rPr>
                <w:rStyle w:val="Hyperlink"/>
              </w:rPr>
            </w:pPr>
          </w:p>
        </w:tc>
      </w:tr>
      <w:tr w:rsidR="00DB7119" w:rsidRPr="0000465F" w14:paraId="7CDC6CAC" w14:textId="77777777" w:rsidTr="00DB7119">
        <w:trPr>
          <w:trHeight w:val="1071"/>
        </w:trPr>
        <w:tc>
          <w:tcPr>
            <w:tcW w:w="5537" w:type="dxa"/>
            <w:tcBorders>
              <w:right w:val="single" w:sz="2" w:space="0" w:color="58595B" w:themeColor="accent4"/>
            </w:tcBorders>
            <w:shd w:val="clear" w:color="auto" w:fill="F6F6F6"/>
          </w:tcPr>
          <w:p w14:paraId="50AC6609" w14:textId="25F7D9E9" w:rsidR="00DB7119" w:rsidRPr="0000465F" w:rsidRDefault="00DB7119" w:rsidP="00DB7119">
            <w:pPr>
              <w:pStyle w:val="AEMCTableBodyCopy"/>
              <w:rPr>
                <w:rStyle w:val="Hyperlink"/>
              </w:rPr>
            </w:pPr>
            <w:r w:rsidRPr="004901AA">
              <w:t>Do you consider that excluding batteries from submitting FSIPs is a material problem, now or in the future?</w:t>
            </w:r>
          </w:p>
        </w:tc>
        <w:tc>
          <w:tcPr>
            <w:tcW w:w="9064" w:type="dxa"/>
            <w:tcBorders>
              <w:left w:val="single" w:sz="2" w:space="0" w:color="58595B" w:themeColor="accent4"/>
            </w:tcBorders>
          </w:tcPr>
          <w:p w14:paraId="348628E9" w14:textId="77777777" w:rsidR="00DB7119" w:rsidRDefault="00DB7119" w:rsidP="00DB7119">
            <w:pPr>
              <w:pStyle w:val="AEMCTableBodyCopy"/>
              <w:rPr>
                <w:rStyle w:val="Hyperlink"/>
              </w:rPr>
            </w:pPr>
          </w:p>
          <w:p w14:paraId="19DC5361" w14:textId="77777777" w:rsidR="00DB7119" w:rsidRDefault="00DB7119" w:rsidP="00DB7119">
            <w:pPr>
              <w:rPr>
                <w:rStyle w:val="Hyperlink"/>
                <w:szCs w:val="18"/>
              </w:rPr>
            </w:pPr>
          </w:p>
          <w:p w14:paraId="347776D2" w14:textId="77777777" w:rsidR="00DB7119" w:rsidRDefault="00DB7119" w:rsidP="00DB7119">
            <w:pPr>
              <w:rPr>
                <w:rStyle w:val="Hyperlink"/>
                <w:szCs w:val="18"/>
              </w:rPr>
            </w:pPr>
          </w:p>
          <w:p w14:paraId="6616342C" w14:textId="77777777" w:rsidR="00DB7119" w:rsidRPr="00F20E42" w:rsidRDefault="00DB7119" w:rsidP="00DB7119">
            <w:pPr>
              <w:ind w:firstLine="720"/>
            </w:pPr>
          </w:p>
        </w:tc>
      </w:tr>
      <w:tr w:rsidR="00DB7119" w:rsidRPr="0000465F" w14:paraId="785F2E6F" w14:textId="77777777" w:rsidTr="00DB7119">
        <w:trPr>
          <w:trHeight w:val="585"/>
        </w:trPr>
        <w:tc>
          <w:tcPr>
            <w:tcW w:w="5537" w:type="dxa"/>
            <w:tcBorders>
              <w:right w:val="single" w:sz="2" w:space="0" w:color="58595B" w:themeColor="accent4"/>
            </w:tcBorders>
            <w:shd w:val="clear" w:color="auto" w:fill="F6F6F6"/>
          </w:tcPr>
          <w:p w14:paraId="47FE0287" w14:textId="306F7CF0" w:rsidR="00DB7119" w:rsidRDefault="00DB7119" w:rsidP="00DB7119">
            <w:pPr>
              <w:pStyle w:val="AEMCTableBodyCopy"/>
              <w:ind w:left="284"/>
            </w:pPr>
            <w:r w:rsidRPr="004901AA">
              <w:rPr>
                <w:rStyle w:val="commented"/>
              </w:rPr>
              <w:t>Do you consider that excluding other forms of BDUs from submitting FSIPs is a material problem, now or in the future?</w:t>
            </w:r>
          </w:p>
        </w:tc>
        <w:tc>
          <w:tcPr>
            <w:tcW w:w="9064" w:type="dxa"/>
            <w:tcBorders>
              <w:left w:val="single" w:sz="2" w:space="0" w:color="58595B" w:themeColor="accent4"/>
            </w:tcBorders>
          </w:tcPr>
          <w:p w14:paraId="1381DF46" w14:textId="77777777" w:rsidR="00DB7119" w:rsidRDefault="00DB7119" w:rsidP="00DB7119">
            <w:pPr>
              <w:pStyle w:val="AEMCTableBodyCopy"/>
              <w:rPr>
                <w:rStyle w:val="Hyperlink"/>
              </w:rPr>
            </w:pPr>
          </w:p>
        </w:tc>
      </w:tr>
      <w:tr w:rsidR="00DB7119" w:rsidRPr="0000465F" w14:paraId="7E1C6016" w14:textId="77777777" w:rsidTr="00DB7119">
        <w:trPr>
          <w:trHeight w:val="68"/>
        </w:trPr>
        <w:tc>
          <w:tcPr>
            <w:tcW w:w="5537" w:type="dxa"/>
            <w:tcBorders>
              <w:right w:val="single" w:sz="2" w:space="0" w:color="58595B" w:themeColor="accent4"/>
            </w:tcBorders>
            <w:shd w:val="clear" w:color="auto" w:fill="F6F6F6"/>
          </w:tcPr>
          <w:p w14:paraId="70F5F098" w14:textId="4018CCFE" w:rsidR="00DB7119" w:rsidRDefault="00DB7119" w:rsidP="00DB7119">
            <w:pPr>
              <w:pStyle w:val="AEMCTableBodyCopy"/>
            </w:pPr>
            <w:r w:rsidRPr="004901AA">
              <w:t>What would be the market impact of making the proposed change?</w:t>
            </w:r>
          </w:p>
        </w:tc>
        <w:tc>
          <w:tcPr>
            <w:tcW w:w="9064" w:type="dxa"/>
            <w:tcBorders>
              <w:left w:val="single" w:sz="2" w:space="0" w:color="58595B" w:themeColor="accent4"/>
            </w:tcBorders>
          </w:tcPr>
          <w:p w14:paraId="33B9E895" w14:textId="77777777" w:rsidR="00DB7119" w:rsidRDefault="00DB7119" w:rsidP="00DB7119">
            <w:pPr>
              <w:pStyle w:val="AEMCTableBodyCopy"/>
              <w:rPr>
                <w:rStyle w:val="Hyperlink"/>
              </w:rPr>
            </w:pPr>
          </w:p>
        </w:tc>
      </w:tr>
      <w:tr w:rsidR="00DB7119" w:rsidRPr="0000465F" w14:paraId="21478DFB" w14:textId="77777777" w:rsidTr="00DB7119">
        <w:trPr>
          <w:trHeight w:val="1290"/>
        </w:trPr>
        <w:tc>
          <w:tcPr>
            <w:tcW w:w="5537" w:type="dxa"/>
            <w:tcBorders>
              <w:right w:val="single" w:sz="2" w:space="0" w:color="58595B" w:themeColor="accent4"/>
            </w:tcBorders>
            <w:shd w:val="clear" w:color="auto" w:fill="F6F6F6"/>
          </w:tcPr>
          <w:p w14:paraId="5E973EC2" w14:textId="127D02E5" w:rsidR="00DB7119" w:rsidRPr="00FA5FBD" w:rsidRDefault="00DB7119" w:rsidP="00DB7119">
            <w:pPr>
              <w:pStyle w:val="AEMCTableBodyCopy"/>
              <w:ind w:left="284"/>
            </w:pPr>
            <w:r w:rsidRPr="004901AA">
              <w:t>What would the operational implications or costs be for allowing semi-scheduled and bidirectional units to register as fast start generating units?</w:t>
            </w:r>
          </w:p>
        </w:tc>
        <w:tc>
          <w:tcPr>
            <w:tcW w:w="9064" w:type="dxa"/>
            <w:tcBorders>
              <w:left w:val="single" w:sz="2" w:space="0" w:color="58595B" w:themeColor="accent4"/>
            </w:tcBorders>
          </w:tcPr>
          <w:p w14:paraId="70FC7CAB" w14:textId="77777777" w:rsidR="00DB7119" w:rsidRDefault="00DB7119" w:rsidP="00DB7119">
            <w:pPr>
              <w:pStyle w:val="AEMCTableBodyCopy"/>
              <w:rPr>
                <w:rStyle w:val="Hyperlink"/>
              </w:rPr>
            </w:pPr>
          </w:p>
        </w:tc>
      </w:tr>
      <w:tr w:rsidR="00DB7119" w:rsidRPr="0000465F" w14:paraId="5AC11838" w14:textId="77777777" w:rsidTr="00DB7119">
        <w:trPr>
          <w:trHeight w:val="68"/>
        </w:trPr>
        <w:tc>
          <w:tcPr>
            <w:tcW w:w="5537" w:type="dxa"/>
            <w:tcBorders>
              <w:right w:val="single" w:sz="2" w:space="0" w:color="58595B" w:themeColor="accent4"/>
            </w:tcBorders>
            <w:shd w:val="clear" w:color="auto" w:fill="F6F6F6"/>
          </w:tcPr>
          <w:p w14:paraId="60E4BDC4" w14:textId="77777777" w:rsidR="00DB7119" w:rsidRDefault="00DB7119" w:rsidP="00DB7119">
            <w:pPr>
              <w:pStyle w:val="AEMCTableBodyCopy"/>
              <w:numPr>
                <w:ilvl w:val="0"/>
                <w:numId w:val="6"/>
              </w:numPr>
            </w:pPr>
            <w:r w:rsidRPr="00FA5FBD">
              <w:t>Does the proposed change:</w:t>
            </w:r>
          </w:p>
          <w:p w14:paraId="4250F958" w14:textId="77777777" w:rsidR="00DB7119" w:rsidRDefault="00DB7119" w:rsidP="00DB7119">
            <w:pPr>
              <w:pStyle w:val="AEMCTableBodyCopy"/>
              <w:numPr>
                <w:ilvl w:val="1"/>
                <w:numId w:val="6"/>
              </w:numPr>
            </w:pPr>
            <w:r w:rsidRPr="00FA5FBD">
              <w:rPr>
                <w:rStyle w:val="proofreader-typo"/>
              </w:rPr>
              <w:t>reduce</w:t>
            </w:r>
            <w:r w:rsidRPr="00FA5FBD">
              <w:t xml:space="preserve"> the cost and complexity of implementing the IESS rule?</w:t>
            </w:r>
          </w:p>
          <w:p w14:paraId="377A8973" w14:textId="77777777" w:rsidR="00DB7119" w:rsidRDefault="00DB7119" w:rsidP="00DB7119">
            <w:pPr>
              <w:pStyle w:val="AEMCTableBodyCopy"/>
              <w:numPr>
                <w:ilvl w:val="1"/>
                <w:numId w:val="6"/>
              </w:numPr>
            </w:pPr>
            <w:r w:rsidRPr="00FA5FBD">
              <w:rPr>
                <w:rStyle w:val="proofreader-typo"/>
              </w:rPr>
              <w:t>reduce</w:t>
            </w:r>
            <w:r w:rsidRPr="00FA5FBD">
              <w:t xml:space="preserve"> market uncertainty</w:t>
            </w:r>
            <w:r>
              <w:t>?</w:t>
            </w:r>
          </w:p>
          <w:p w14:paraId="63D19D27" w14:textId="72F7CA81" w:rsidR="00DB7119" w:rsidRDefault="00DB7119" w:rsidP="00DB7119">
            <w:pPr>
              <w:pStyle w:val="AEMCTableBodyCopy"/>
            </w:pPr>
            <w:r w:rsidRPr="00FA5FBD">
              <w:rPr>
                <w:rStyle w:val="proofreader-typo"/>
              </w:rPr>
              <w:t>deviate</w:t>
            </w:r>
            <w:r w:rsidRPr="00FA5FBD">
              <w:t xml:space="preserve"> from the broader direction of reform in the IESS rule, or is it targeted at implementation only?</w:t>
            </w:r>
          </w:p>
        </w:tc>
        <w:tc>
          <w:tcPr>
            <w:tcW w:w="9064" w:type="dxa"/>
            <w:tcBorders>
              <w:left w:val="single" w:sz="2" w:space="0" w:color="58595B" w:themeColor="accent4"/>
            </w:tcBorders>
          </w:tcPr>
          <w:p w14:paraId="6C643138" w14:textId="77777777" w:rsidR="00DB7119" w:rsidRDefault="00DB7119" w:rsidP="00DB7119">
            <w:pPr>
              <w:pStyle w:val="AEMCTableBodyCopy"/>
              <w:rPr>
                <w:rStyle w:val="Hyperlink"/>
              </w:rPr>
            </w:pPr>
          </w:p>
        </w:tc>
      </w:tr>
      <w:tr w:rsidR="00DB7119" w:rsidRPr="0000465F" w14:paraId="6B5E249B" w14:textId="77777777" w:rsidTr="00DB7119">
        <w:trPr>
          <w:trHeight w:val="68"/>
        </w:trPr>
        <w:tc>
          <w:tcPr>
            <w:tcW w:w="5537" w:type="dxa"/>
            <w:tcBorders>
              <w:right w:val="single" w:sz="2" w:space="0" w:color="58595B" w:themeColor="accent4"/>
            </w:tcBorders>
            <w:shd w:val="clear" w:color="auto" w:fill="F6F6F6"/>
          </w:tcPr>
          <w:p w14:paraId="5E9ECBE5" w14:textId="2720ACE1" w:rsidR="00DB7119" w:rsidRDefault="00DB7119" w:rsidP="00DB7119">
            <w:pPr>
              <w:pStyle w:val="AEMCTableBodyCopy"/>
            </w:pPr>
            <w:r w:rsidRPr="00FA5FBD">
              <w:t>Are there other solutions that would better solve the problem?</w:t>
            </w:r>
          </w:p>
        </w:tc>
        <w:tc>
          <w:tcPr>
            <w:tcW w:w="9064" w:type="dxa"/>
            <w:tcBorders>
              <w:left w:val="single" w:sz="2" w:space="0" w:color="58595B" w:themeColor="accent4"/>
            </w:tcBorders>
          </w:tcPr>
          <w:p w14:paraId="4D6D0B7A" w14:textId="77777777" w:rsidR="00DB7119" w:rsidRDefault="00DB7119" w:rsidP="00DB7119">
            <w:pPr>
              <w:pStyle w:val="AEMCTableBodyCopy"/>
              <w:rPr>
                <w:rStyle w:val="Hyperlink"/>
              </w:rPr>
            </w:pPr>
          </w:p>
        </w:tc>
      </w:tr>
    </w:tbl>
    <w:p w14:paraId="239C2267" w14:textId="77777777" w:rsidR="00DB7119" w:rsidRDefault="00DB7119" w:rsidP="003C253A">
      <w:pPr>
        <w:pStyle w:val="AEMCHeaderL4"/>
        <w:rPr>
          <w:rStyle w:val="Hyperlink"/>
          <w:b/>
        </w:rPr>
      </w:pPr>
    </w:p>
    <w:p w14:paraId="1FE11DFA" w14:textId="77777777" w:rsidR="00DB7119" w:rsidRPr="00DB7119" w:rsidRDefault="00DB7119" w:rsidP="00DB7119">
      <w:pPr>
        <w:pStyle w:val="AEMCBodyCopy"/>
      </w:pPr>
    </w:p>
    <w:p w14:paraId="35D85B06" w14:textId="2B0CC2DB" w:rsidR="003C253A" w:rsidRPr="008A4886" w:rsidRDefault="003C253A" w:rsidP="003C253A">
      <w:pPr>
        <w:pStyle w:val="AEMCHeaderL4"/>
        <w:rPr>
          <w:rStyle w:val="Hyperlink"/>
        </w:rPr>
      </w:pPr>
      <w:r>
        <w:rPr>
          <w:rStyle w:val="Hyperlink"/>
          <w:b/>
        </w:rPr>
        <w:lastRenderedPageBreak/>
        <w:t xml:space="preserve">Question </w:t>
      </w:r>
      <w:r w:rsidR="00174D7A">
        <w:rPr>
          <w:rStyle w:val="Hyperlink"/>
          <w:b/>
        </w:rPr>
        <w:t>3</w:t>
      </w:r>
      <w:r>
        <w:rPr>
          <w:rStyle w:val="Hyperlink"/>
          <w:b/>
        </w:rPr>
        <w:t xml:space="preserve"> – chapter </w:t>
      </w:r>
      <w:r w:rsidR="00174D7A">
        <w:rPr>
          <w:rStyle w:val="Hyperlink"/>
          <w:b/>
        </w:rPr>
        <w:t>4</w:t>
      </w:r>
      <w:r>
        <w:rPr>
          <w:rStyle w:val="Hyperlink"/>
          <w:b/>
        </w:rPr>
        <w:t xml:space="preserve"> </w:t>
      </w:r>
      <w:r w:rsidRPr="008A4886">
        <w:rPr>
          <w:rStyle w:val="Hyperlink"/>
        </w:rPr>
        <w:t xml:space="preserve">– </w:t>
      </w:r>
      <w:r w:rsidR="00AC71AD">
        <w:t>Align implementation of new non-energy cost recovery calculations to commencement of NEM billing week</w:t>
      </w:r>
    </w:p>
    <w:tbl>
      <w:tblPr>
        <w:tblStyle w:val="TableGrid"/>
        <w:tblW w:w="1460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064"/>
      </w:tblGrid>
      <w:tr w:rsidR="00463D8C" w:rsidRPr="0000465F" w14:paraId="77632393" w14:textId="77777777" w:rsidTr="00A94EE6">
        <w:trPr>
          <w:trHeight w:val="1046"/>
        </w:trPr>
        <w:tc>
          <w:tcPr>
            <w:tcW w:w="5537" w:type="dxa"/>
            <w:tcBorders>
              <w:top w:val="single" w:sz="18" w:space="0" w:color="00A8E5" w:themeColor="accent1"/>
              <w:right w:val="single" w:sz="2" w:space="0" w:color="58595B" w:themeColor="accent4"/>
            </w:tcBorders>
            <w:shd w:val="clear" w:color="auto" w:fill="F6F6F6"/>
          </w:tcPr>
          <w:p w14:paraId="4828CA5F" w14:textId="63DCB89C" w:rsidR="00463D8C" w:rsidRPr="0000465F" w:rsidRDefault="00463D8C" w:rsidP="00463D8C">
            <w:pPr>
              <w:pStyle w:val="AEMCTableBodyCopyNumbers"/>
              <w:numPr>
                <w:ilvl w:val="0"/>
                <w:numId w:val="23"/>
              </w:numPr>
              <w:rPr>
                <w:rStyle w:val="Hyperlink"/>
              </w:rPr>
            </w:pPr>
            <w:r w:rsidRPr="004F3633">
              <w:t>Do you consider AEMO's proposed solution to be the most efficient way to address the problem? If so, what do you consider the key benefits of the proposed solution are?</w:t>
            </w:r>
          </w:p>
        </w:tc>
        <w:tc>
          <w:tcPr>
            <w:tcW w:w="9064" w:type="dxa"/>
            <w:tcBorders>
              <w:top w:val="single" w:sz="18" w:space="0" w:color="00A8E5" w:themeColor="accent1"/>
              <w:left w:val="single" w:sz="2" w:space="0" w:color="58595B" w:themeColor="accent4"/>
            </w:tcBorders>
          </w:tcPr>
          <w:p w14:paraId="5FE88C81" w14:textId="77777777" w:rsidR="00463D8C" w:rsidRPr="00785222" w:rsidRDefault="00463D8C" w:rsidP="00463D8C">
            <w:pPr>
              <w:pStyle w:val="AEMCTableBodyCopy"/>
              <w:rPr>
                <w:rStyle w:val="Hyperlink"/>
              </w:rPr>
            </w:pPr>
          </w:p>
        </w:tc>
      </w:tr>
      <w:tr w:rsidR="00463D8C" w:rsidRPr="0000465F" w14:paraId="14D2D42E" w14:textId="77777777" w:rsidTr="00A94EE6">
        <w:trPr>
          <w:trHeight w:val="1071"/>
        </w:trPr>
        <w:tc>
          <w:tcPr>
            <w:tcW w:w="5537" w:type="dxa"/>
            <w:tcBorders>
              <w:right w:val="single" w:sz="2" w:space="0" w:color="58595B" w:themeColor="accent4"/>
            </w:tcBorders>
            <w:shd w:val="clear" w:color="auto" w:fill="F6F6F6"/>
          </w:tcPr>
          <w:p w14:paraId="3158C221" w14:textId="7BF5DE2A" w:rsidR="00463D8C" w:rsidRPr="0000465F" w:rsidRDefault="00463D8C" w:rsidP="00463D8C">
            <w:pPr>
              <w:pStyle w:val="AEMCTableBodyCopy"/>
              <w:numPr>
                <w:ilvl w:val="0"/>
                <w:numId w:val="6"/>
              </w:numPr>
              <w:rPr>
                <w:rStyle w:val="Hyperlink"/>
              </w:rPr>
            </w:pPr>
            <w:r w:rsidRPr="004F3633">
              <w:t>What would be the market impact of making the proposed change?</w:t>
            </w:r>
          </w:p>
        </w:tc>
        <w:tc>
          <w:tcPr>
            <w:tcW w:w="9064" w:type="dxa"/>
            <w:tcBorders>
              <w:left w:val="single" w:sz="2" w:space="0" w:color="58595B" w:themeColor="accent4"/>
            </w:tcBorders>
          </w:tcPr>
          <w:p w14:paraId="0048E052" w14:textId="77777777" w:rsidR="00463D8C" w:rsidRDefault="00463D8C" w:rsidP="00463D8C">
            <w:pPr>
              <w:pStyle w:val="AEMCTableBodyCopy"/>
              <w:rPr>
                <w:rStyle w:val="Hyperlink"/>
              </w:rPr>
            </w:pPr>
          </w:p>
          <w:p w14:paraId="4FC6A613" w14:textId="77777777" w:rsidR="00463D8C" w:rsidRDefault="00463D8C" w:rsidP="00463D8C">
            <w:pPr>
              <w:rPr>
                <w:rStyle w:val="Hyperlink"/>
                <w:szCs w:val="18"/>
              </w:rPr>
            </w:pPr>
          </w:p>
          <w:p w14:paraId="69929166" w14:textId="77777777" w:rsidR="00463D8C" w:rsidRDefault="00463D8C" w:rsidP="00463D8C">
            <w:pPr>
              <w:rPr>
                <w:rStyle w:val="Hyperlink"/>
                <w:szCs w:val="18"/>
              </w:rPr>
            </w:pPr>
          </w:p>
          <w:p w14:paraId="351C2C0E" w14:textId="12DDFF29" w:rsidR="00463D8C" w:rsidRPr="00F20E42" w:rsidRDefault="00463D8C" w:rsidP="00463D8C">
            <w:pPr>
              <w:ind w:firstLine="720"/>
            </w:pPr>
          </w:p>
        </w:tc>
      </w:tr>
      <w:tr w:rsidR="00463D8C" w:rsidRPr="0000465F" w14:paraId="4B94C672" w14:textId="77777777" w:rsidTr="00A94EE6">
        <w:trPr>
          <w:trHeight w:val="1290"/>
        </w:trPr>
        <w:tc>
          <w:tcPr>
            <w:tcW w:w="5537" w:type="dxa"/>
            <w:tcBorders>
              <w:right w:val="single" w:sz="2" w:space="0" w:color="58595B" w:themeColor="accent4"/>
            </w:tcBorders>
            <w:shd w:val="clear" w:color="auto" w:fill="F6F6F6"/>
          </w:tcPr>
          <w:p w14:paraId="435CF812" w14:textId="47B5BEE4" w:rsidR="00463D8C" w:rsidRDefault="00463D8C" w:rsidP="00463D8C">
            <w:pPr>
              <w:pStyle w:val="AEMCTableBodyCopy"/>
              <w:numPr>
                <w:ilvl w:val="0"/>
                <w:numId w:val="6"/>
              </w:numPr>
            </w:pPr>
            <w:r w:rsidRPr="004F3633">
              <w:t>What would the operational implications or costs be for changing the implementation date for NECR calculations to Sunday 2 June 2024?</w:t>
            </w:r>
          </w:p>
        </w:tc>
        <w:tc>
          <w:tcPr>
            <w:tcW w:w="9064" w:type="dxa"/>
            <w:tcBorders>
              <w:left w:val="single" w:sz="2" w:space="0" w:color="58595B" w:themeColor="accent4"/>
            </w:tcBorders>
          </w:tcPr>
          <w:p w14:paraId="60A596BD" w14:textId="77777777" w:rsidR="00463D8C" w:rsidRDefault="00463D8C" w:rsidP="00463D8C">
            <w:pPr>
              <w:pStyle w:val="AEMCTableBodyCopy"/>
              <w:rPr>
                <w:rStyle w:val="Hyperlink"/>
              </w:rPr>
            </w:pPr>
          </w:p>
        </w:tc>
      </w:tr>
      <w:tr w:rsidR="00174D7A" w:rsidRPr="0000465F" w14:paraId="310A7968" w14:textId="77777777" w:rsidTr="00A94EE6">
        <w:trPr>
          <w:trHeight w:val="1290"/>
        </w:trPr>
        <w:tc>
          <w:tcPr>
            <w:tcW w:w="5537" w:type="dxa"/>
            <w:tcBorders>
              <w:right w:val="single" w:sz="2" w:space="0" w:color="58595B" w:themeColor="accent4"/>
            </w:tcBorders>
            <w:shd w:val="clear" w:color="auto" w:fill="F6F6F6"/>
          </w:tcPr>
          <w:p w14:paraId="79E068F7" w14:textId="77777777" w:rsidR="00174D7A" w:rsidRDefault="00174D7A" w:rsidP="00174D7A">
            <w:pPr>
              <w:pStyle w:val="AEMCTableBodyCopy"/>
              <w:numPr>
                <w:ilvl w:val="0"/>
                <w:numId w:val="6"/>
              </w:numPr>
            </w:pPr>
            <w:r w:rsidRPr="00FA5FBD">
              <w:t>Does the proposed change:</w:t>
            </w:r>
          </w:p>
          <w:p w14:paraId="3127B1EF" w14:textId="77777777" w:rsidR="00174D7A" w:rsidRDefault="00174D7A" w:rsidP="00174D7A">
            <w:pPr>
              <w:pStyle w:val="AEMCTableBodyCopy"/>
              <w:numPr>
                <w:ilvl w:val="1"/>
                <w:numId w:val="6"/>
              </w:numPr>
            </w:pPr>
            <w:r w:rsidRPr="00FA5FBD">
              <w:rPr>
                <w:rStyle w:val="proofreader-typo"/>
              </w:rPr>
              <w:t>reduce</w:t>
            </w:r>
            <w:r w:rsidRPr="00FA5FBD">
              <w:t xml:space="preserve"> the cost and complexity of implementing the IESS rule?</w:t>
            </w:r>
          </w:p>
          <w:p w14:paraId="728EB201" w14:textId="77777777" w:rsidR="00463D8C" w:rsidRDefault="00174D7A" w:rsidP="00463D8C">
            <w:pPr>
              <w:pStyle w:val="AEMCTableBodyCopy"/>
              <w:numPr>
                <w:ilvl w:val="1"/>
                <w:numId w:val="6"/>
              </w:numPr>
            </w:pPr>
            <w:r w:rsidRPr="00FA5FBD">
              <w:rPr>
                <w:rStyle w:val="proofreader-typo"/>
              </w:rPr>
              <w:t>reduce</w:t>
            </w:r>
            <w:r w:rsidRPr="00FA5FBD">
              <w:t xml:space="preserve"> market uncertainty</w:t>
            </w:r>
            <w:r>
              <w:t>?</w:t>
            </w:r>
          </w:p>
          <w:p w14:paraId="5B2EDFA8" w14:textId="419B0153" w:rsidR="00174D7A" w:rsidRDefault="00174D7A" w:rsidP="00463D8C">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9064" w:type="dxa"/>
            <w:tcBorders>
              <w:left w:val="single" w:sz="2" w:space="0" w:color="58595B" w:themeColor="accent4"/>
            </w:tcBorders>
          </w:tcPr>
          <w:p w14:paraId="30470EAB" w14:textId="77777777" w:rsidR="00174D7A" w:rsidRDefault="00174D7A" w:rsidP="005C55A2">
            <w:pPr>
              <w:pStyle w:val="AEMCTableBodyCopy"/>
              <w:rPr>
                <w:rStyle w:val="Hyperlink"/>
              </w:rPr>
            </w:pPr>
          </w:p>
        </w:tc>
      </w:tr>
      <w:tr w:rsidR="00463D8C" w:rsidRPr="0000465F" w14:paraId="42B7D1AD" w14:textId="77777777" w:rsidTr="00A94EE6">
        <w:trPr>
          <w:trHeight w:val="1290"/>
        </w:trPr>
        <w:tc>
          <w:tcPr>
            <w:tcW w:w="5537" w:type="dxa"/>
            <w:tcBorders>
              <w:right w:val="single" w:sz="2" w:space="0" w:color="58595B" w:themeColor="accent4"/>
            </w:tcBorders>
            <w:shd w:val="clear" w:color="auto" w:fill="F6F6F6"/>
          </w:tcPr>
          <w:p w14:paraId="759BDC3C" w14:textId="17E5A1FF" w:rsidR="00463D8C" w:rsidRPr="00FA5FBD" w:rsidRDefault="00463D8C" w:rsidP="00174D7A">
            <w:pPr>
              <w:pStyle w:val="AEMCTableBodyCopy"/>
              <w:numPr>
                <w:ilvl w:val="0"/>
                <w:numId w:val="6"/>
              </w:numPr>
            </w:pPr>
            <w:r>
              <w:t>Are there other solutions that would better solve the problem?</w:t>
            </w:r>
          </w:p>
        </w:tc>
        <w:tc>
          <w:tcPr>
            <w:tcW w:w="9064" w:type="dxa"/>
            <w:tcBorders>
              <w:left w:val="single" w:sz="2" w:space="0" w:color="58595B" w:themeColor="accent4"/>
            </w:tcBorders>
          </w:tcPr>
          <w:p w14:paraId="775CEB32" w14:textId="77777777" w:rsidR="00463D8C" w:rsidRDefault="00463D8C" w:rsidP="005C55A2">
            <w:pPr>
              <w:pStyle w:val="AEMCTableBodyCopy"/>
              <w:rPr>
                <w:rStyle w:val="Hyperlink"/>
              </w:rPr>
            </w:pPr>
          </w:p>
        </w:tc>
      </w:tr>
    </w:tbl>
    <w:p w14:paraId="0B17E3C9" w14:textId="77777777" w:rsidR="00C114E7" w:rsidRDefault="00C114E7" w:rsidP="008A4886">
      <w:pPr>
        <w:pStyle w:val="AEMCHeaderL4"/>
        <w:rPr>
          <w:rStyle w:val="Hyperlink"/>
          <w:b/>
        </w:rPr>
      </w:pPr>
    </w:p>
    <w:p w14:paraId="07B553E2" w14:textId="77777777" w:rsidR="00900F2A" w:rsidRDefault="00900F2A" w:rsidP="00F20E42">
      <w:pPr>
        <w:pStyle w:val="AEMCHeaderL4"/>
        <w:rPr>
          <w:rStyle w:val="Hyperlink"/>
          <w:b/>
        </w:rPr>
      </w:pPr>
    </w:p>
    <w:p w14:paraId="493E6320" w14:textId="7BABC519" w:rsidR="00F20E42" w:rsidRPr="008A4886" w:rsidRDefault="00F20E42" w:rsidP="00F20E42">
      <w:pPr>
        <w:pStyle w:val="AEMCHeaderL4"/>
        <w:rPr>
          <w:rStyle w:val="Hyperlink"/>
        </w:rPr>
      </w:pPr>
      <w:r>
        <w:rPr>
          <w:rStyle w:val="Hyperlink"/>
          <w:b/>
        </w:rPr>
        <w:lastRenderedPageBreak/>
        <w:t xml:space="preserve">Question </w:t>
      </w:r>
      <w:r w:rsidR="00BE0E20">
        <w:rPr>
          <w:rStyle w:val="Hyperlink"/>
          <w:b/>
        </w:rPr>
        <w:t>4</w:t>
      </w:r>
      <w:r>
        <w:rPr>
          <w:rStyle w:val="Hyperlink"/>
          <w:b/>
        </w:rPr>
        <w:t xml:space="preserve"> – chapter </w:t>
      </w:r>
      <w:r w:rsidR="00AC71AD">
        <w:rPr>
          <w:rStyle w:val="Hyperlink"/>
          <w:b/>
        </w:rPr>
        <w:t>5</w:t>
      </w:r>
      <w:r>
        <w:rPr>
          <w:rStyle w:val="Hyperlink"/>
          <w:b/>
        </w:rPr>
        <w:t xml:space="preserve"> </w:t>
      </w:r>
      <w:r w:rsidRPr="008A4886">
        <w:rPr>
          <w:rStyle w:val="Hyperlink"/>
        </w:rPr>
        <w:t xml:space="preserve">– </w:t>
      </w:r>
      <w:r w:rsidR="00FB4589">
        <w:t xml:space="preserve">Clarify scheduled, </w:t>
      </w:r>
      <w:proofErr w:type="gramStart"/>
      <w:r w:rsidR="00FB4589">
        <w:t>non-scheduled</w:t>
      </w:r>
      <w:proofErr w:type="gramEnd"/>
      <w:r w:rsidR="00FB4589">
        <w:t xml:space="preserve"> and semi-scheduled production unit classification thresholds</w:t>
      </w:r>
    </w:p>
    <w:tbl>
      <w:tblPr>
        <w:tblStyle w:val="TableGrid"/>
        <w:tblW w:w="1460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5"/>
        <w:gridCol w:w="9066"/>
      </w:tblGrid>
      <w:tr w:rsidR="00FB4589" w:rsidRPr="0000465F" w14:paraId="36FDF255" w14:textId="77777777" w:rsidTr="00A94EE6">
        <w:trPr>
          <w:trHeight w:val="576"/>
        </w:trPr>
        <w:tc>
          <w:tcPr>
            <w:tcW w:w="5535" w:type="dxa"/>
            <w:tcBorders>
              <w:top w:val="single" w:sz="18" w:space="0" w:color="00A8E5" w:themeColor="accent1"/>
              <w:right w:val="single" w:sz="2" w:space="0" w:color="58595B" w:themeColor="accent4"/>
            </w:tcBorders>
            <w:shd w:val="clear" w:color="auto" w:fill="F6F6F6"/>
          </w:tcPr>
          <w:p w14:paraId="796D9BDD" w14:textId="5E678FE1" w:rsidR="00FB4589" w:rsidRPr="0000465F" w:rsidRDefault="00FB4589" w:rsidP="00C0142B">
            <w:pPr>
              <w:pStyle w:val="AEMCTableBodyCopyNumbers"/>
              <w:numPr>
                <w:ilvl w:val="0"/>
                <w:numId w:val="24"/>
              </w:numPr>
              <w:rPr>
                <w:rStyle w:val="Hyperlink"/>
              </w:rPr>
            </w:pPr>
            <w:r w:rsidRPr="00D95196">
              <w:t>Has the problem been appropriately identified?</w:t>
            </w:r>
          </w:p>
        </w:tc>
        <w:tc>
          <w:tcPr>
            <w:tcW w:w="9066" w:type="dxa"/>
            <w:tcBorders>
              <w:top w:val="single" w:sz="18" w:space="0" w:color="00A8E5" w:themeColor="accent1"/>
              <w:left w:val="single" w:sz="2" w:space="0" w:color="58595B" w:themeColor="accent4"/>
            </w:tcBorders>
          </w:tcPr>
          <w:p w14:paraId="7D0153EF" w14:textId="77777777" w:rsidR="00FB4589" w:rsidRPr="00785222" w:rsidRDefault="00FB4589" w:rsidP="00FB4589">
            <w:pPr>
              <w:pStyle w:val="AEMCTableBodyCopy"/>
              <w:rPr>
                <w:rStyle w:val="Hyperlink"/>
              </w:rPr>
            </w:pPr>
          </w:p>
        </w:tc>
      </w:tr>
      <w:tr w:rsidR="00FB4589" w:rsidRPr="0000465F" w14:paraId="084C2639" w14:textId="77777777" w:rsidTr="00A94EE6">
        <w:trPr>
          <w:trHeight w:val="789"/>
        </w:trPr>
        <w:tc>
          <w:tcPr>
            <w:tcW w:w="5535" w:type="dxa"/>
            <w:tcBorders>
              <w:right w:val="single" w:sz="2" w:space="0" w:color="58595B" w:themeColor="accent4"/>
            </w:tcBorders>
            <w:shd w:val="clear" w:color="auto" w:fill="F6F6F6"/>
          </w:tcPr>
          <w:p w14:paraId="4746801E" w14:textId="2CCBAD07" w:rsidR="00FB4589" w:rsidRPr="0000465F" w:rsidRDefault="00FB4589" w:rsidP="00FB4589">
            <w:pPr>
              <w:pStyle w:val="AEMCTableBodyCopy"/>
              <w:numPr>
                <w:ilvl w:val="0"/>
                <w:numId w:val="6"/>
              </w:numPr>
              <w:rPr>
                <w:rStyle w:val="Hyperlink"/>
              </w:rPr>
            </w:pPr>
            <w:r w:rsidRPr="00D95196">
              <w:t>Does the rule change address the problem?</w:t>
            </w:r>
          </w:p>
        </w:tc>
        <w:tc>
          <w:tcPr>
            <w:tcW w:w="9066" w:type="dxa"/>
            <w:tcBorders>
              <w:left w:val="single" w:sz="2" w:space="0" w:color="58595B" w:themeColor="accent4"/>
            </w:tcBorders>
          </w:tcPr>
          <w:p w14:paraId="76ADE58C" w14:textId="77777777" w:rsidR="00FB4589" w:rsidRPr="00785222" w:rsidRDefault="00FB4589" w:rsidP="00FB4589">
            <w:pPr>
              <w:pStyle w:val="AEMCTableBodyCopy"/>
              <w:rPr>
                <w:rStyle w:val="Hyperlink"/>
              </w:rPr>
            </w:pPr>
          </w:p>
        </w:tc>
      </w:tr>
      <w:tr w:rsidR="00FB4589" w:rsidRPr="0000465F" w14:paraId="71098233" w14:textId="77777777" w:rsidTr="00A94EE6">
        <w:trPr>
          <w:trHeight w:val="789"/>
        </w:trPr>
        <w:tc>
          <w:tcPr>
            <w:tcW w:w="5535" w:type="dxa"/>
            <w:tcBorders>
              <w:right w:val="single" w:sz="2" w:space="0" w:color="58595B" w:themeColor="accent4"/>
            </w:tcBorders>
            <w:shd w:val="clear" w:color="auto" w:fill="F6F6F6"/>
          </w:tcPr>
          <w:p w14:paraId="23719EB3" w14:textId="1D6B7EB7" w:rsidR="00FB4589" w:rsidRDefault="00FB4589" w:rsidP="00FB4589">
            <w:pPr>
              <w:pStyle w:val="AEMCTableBodyCopy"/>
              <w:numPr>
                <w:ilvl w:val="0"/>
                <w:numId w:val="6"/>
              </w:numPr>
            </w:pPr>
            <w:r w:rsidRPr="00D95196">
              <w:t>What would be the impact on the market and on investment of making the proposed change?</w:t>
            </w:r>
          </w:p>
        </w:tc>
        <w:tc>
          <w:tcPr>
            <w:tcW w:w="9066" w:type="dxa"/>
            <w:tcBorders>
              <w:left w:val="single" w:sz="2" w:space="0" w:color="58595B" w:themeColor="accent4"/>
            </w:tcBorders>
          </w:tcPr>
          <w:p w14:paraId="58E1FF3C" w14:textId="77777777" w:rsidR="00FB4589" w:rsidRPr="00785222" w:rsidRDefault="00FB4589" w:rsidP="00FB4589">
            <w:pPr>
              <w:pStyle w:val="AEMCTableBodyCopy"/>
              <w:rPr>
                <w:rStyle w:val="Hyperlink"/>
              </w:rPr>
            </w:pPr>
          </w:p>
        </w:tc>
      </w:tr>
      <w:tr w:rsidR="00FB4589" w:rsidRPr="0000465F" w14:paraId="01751702" w14:textId="77777777" w:rsidTr="00A94EE6">
        <w:trPr>
          <w:trHeight w:val="789"/>
        </w:trPr>
        <w:tc>
          <w:tcPr>
            <w:tcW w:w="5535" w:type="dxa"/>
            <w:tcBorders>
              <w:right w:val="single" w:sz="2" w:space="0" w:color="58595B" w:themeColor="accent4"/>
            </w:tcBorders>
            <w:shd w:val="clear" w:color="auto" w:fill="F6F6F6"/>
          </w:tcPr>
          <w:p w14:paraId="659FADDA" w14:textId="3FE8F41E" w:rsidR="00FB4589" w:rsidRDefault="00FB4589" w:rsidP="00FB4589">
            <w:pPr>
              <w:pStyle w:val="AEMCTableBodyCopy"/>
              <w:numPr>
                <w:ilvl w:val="0"/>
                <w:numId w:val="6"/>
              </w:numPr>
            </w:pPr>
            <w:r w:rsidRPr="00D95196">
              <w:t>Are there material costs for implementing the change for sites with unscheduled generating units below 30 MW and storage units below 5 MW that would then reach the 30 MW threshold collectively?</w:t>
            </w:r>
          </w:p>
        </w:tc>
        <w:tc>
          <w:tcPr>
            <w:tcW w:w="9066" w:type="dxa"/>
            <w:tcBorders>
              <w:left w:val="single" w:sz="2" w:space="0" w:color="58595B" w:themeColor="accent4"/>
            </w:tcBorders>
          </w:tcPr>
          <w:p w14:paraId="39DD7F9A" w14:textId="77777777" w:rsidR="00FB4589" w:rsidRPr="00785222" w:rsidRDefault="00FB4589" w:rsidP="00FB4589">
            <w:pPr>
              <w:pStyle w:val="AEMCTableBodyCopy"/>
              <w:rPr>
                <w:rStyle w:val="Hyperlink"/>
              </w:rPr>
            </w:pPr>
          </w:p>
        </w:tc>
      </w:tr>
      <w:tr w:rsidR="00FB4589" w:rsidRPr="0000465F" w14:paraId="322959F2" w14:textId="77777777" w:rsidTr="00A94EE6">
        <w:trPr>
          <w:trHeight w:val="789"/>
        </w:trPr>
        <w:tc>
          <w:tcPr>
            <w:tcW w:w="5535" w:type="dxa"/>
            <w:tcBorders>
              <w:right w:val="single" w:sz="2" w:space="0" w:color="58595B" w:themeColor="accent4"/>
            </w:tcBorders>
            <w:shd w:val="clear" w:color="auto" w:fill="F6F6F6"/>
          </w:tcPr>
          <w:p w14:paraId="3884862D" w14:textId="77777777" w:rsidR="00FB4589" w:rsidRDefault="00FB4589" w:rsidP="00FB4589">
            <w:pPr>
              <w:pStyle w:val="AEMCTableBodyCopy"/>
              <w:numPr>
                <w:ilvl w:val="0"/>
                <w:numId w:val="6"/>
              </w:numPr>
            </w:pPr>
            <w:r w:rsidRPr="00FA5FBD">
              <w:t>Does the proposed change:</w:t>
            </w:r>
          </w:p>
          <w:p w14:paraId="4F1C3314" w14:textId="77777777" w:rsidR="00FB4589" w:rsidRDefault="00FB4589" w:rsidP="00FB4589">
            <w:pPr>
              <w:pStyle w:val="AEMCTableBodyCopy"/>
              <w:numPr>
                <w:ilvl w:val="1"/>
                <w:numId w:val="6"/>
              </w:numPr>
            </w:pPr>
            <w:r w:rsidRPr="00FA5FBD">
              <w:rPr>
                <w:rStyle w:val="proofreader-typo"/>
              </w:rPr>
              <w:t>reduce</w:t>
            </w:r>
            <w:r w:rsidRPr="00FA5FBD">
              <w:t xml:space="preserve"> the cost and complexity of implementing the IESS rule?</w:t>
            </w:r>
          </w:p>
          <w:p w14:paraId="5E3C735B" w14:textId="77777777" w:rsidR="00FB4589" w:rsidRDefault="00FB4589" w:rsidP="00FB4589">
            <w:pPr>
              <w:pStyle w:val="AEMCTableBodyCopy"/>
              <w:numPr>
                <w:ilvl w:val="1"/>
                <w:numId w:val="6"/>
              </w:numPr>
            </w:pPr>
            <w:r w:rsidRPr="00FA5FBD">
              <w:rPr>
                <w:rStyle w:val="proofreader-typo"/>
              </w:rPr>
              <w:t>reduce</w:t>
            </w:r>
            <w:r w:rsidRPr="00FA5FBD">
              <w:t xml:space="preserve"> market uncertainty</w:t>
            </w:r>
            <w:r>
              <w:t>?</w:t>
            </w:r>
          </w:p>
          <w:p w14:paraId="25FCA3DB" w14:textId="348144E2" w:rsidR="00FB4589" w:rsidRDefault="00FB4589" w:rsidP="00FB4589">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9066" w:type="dxa"/>
            <w:tcBorders>
              <w:left w:val="single" w:sz="2" w:space="0" w:color="58595B" w:themeColor="accent4"/>
            </w:tcBorders>
          </w:tcPr>
          <w:p w14:paraId="6826C390" w14:textId="77777777" w:rsidR="00FB4589" w:rsidRPr="00785222" w:rsidRDefault="00FB4589" w:rsidP="00FB4589">
            <w:pPr>
              <w:pStyle w:val="AEMCTableBodyCopy"/>
              <w:rPr>
                <w:rStyle w:val="Hyperlink"/>
              </w:rPr>
            </w:pPr>
          </w:p>
        </w:tc>
      </w:tr>
      <w:tr w:rsidR="00FB4589" w:rsidRPr="0000465F" w14:paraId="704BFA38" w14:textId="77777777" w:rsidTr="00A94EE6">
        <w:trPr>
          <w:trHeight w:val="789"/>
        </w:trPr>
        <w:tc>
          <w:tcPr>
            <w:tcW w:w="5535" w:type="dxa"/>
            <w:tcBorders>
              <w:right w:val="single" w:sz="2" w:space="0" w:color="58595B" w:themeColor="accent4"/>
            </w:tcBorders>
            <w:shd w:val="clear" w:color="auto" w:fill="F6F6F6"/>
          </w:tcPr>
          <w:p w14:paraId="6C8332A6" w14:textId="76EDC02E" w:rsidR="00FB4589" w:rsidRDefault="003F31F1" w:rsidP="00FB4589">
            <w:pPr>
              <w:pStyle w:val="AEMCTableBodyCopy"/>
              <w:numPr>
                <w:ilvl w:val="0"/>
                <w:numId w:val="6"/>
              </w:numPr>
            </w:pPr>
            <w:r>
              <w:t>Are there other solutions that would better solve the problem?</w:t>
            </w:r>
          </w:p>
        </w:tc>
        <w:tc>
          <w:tcPr>
            <w:tcW w:w="9066" w:type="dxa"/>
            <w:tcBorders>
              <w:left w:val="single" w:sz="2" w:space="0" w:color="58595B" w:themeColor="accent4"/>
            </w:tcBorders>
          </w:tcPr>
          <w:p w14:paraId="003AF169" w14:textId="77777777" w:rsidR="00FB4589" w:rsidRPr="00785222" w:rsidRDefault="00FB4589" w:rsidP="00FB4589">
            <w:pPr>
              <w:pStyle w:val="AEMCTableBodyCopy"/>
              <w:rPr>
                <w:rStyle w:val="Hyperlink"/>
              </w:rPr>
            </w:pPr>
          </w:p>
        </w:tc>
      </w:tr>
    </w:tbl>
    <w:p w14:paraId="402435D0" w14:textId="77777777" w:rsidR="00900F2A" w:rsidRDefault="00900F2A" w:rsidP="00BD065A">
      <w:pPr>
        <w:pStyle w:val="AEMCHeaderL4"/>
        <w:rPr>
          <w:rStyle w:val="Hyperlink"/>
          <w:b/>
        </w:rPr>
      </w:pPr>
    </w:p>
    <w:p w14:paraId="25BCEB36" w14:textId="77777777" w:rsidR="00900F2A" w:rsidRDefault="00900F2A" w:rsidP="00BD065A">
      <w:pPr>
        <w:pStyle w:val="AEMCHeaderL4"/>
        <w:rPr>
          <w:rStyle w:val="Hyperlink"/>
          <w:b/>
        </w:rPr>
      </w:pPr>
    </w:p>
    <w:p w14:paraId="7BFA79B1" w14:textId="77777777" w:rsidR="00900F2A" w:rsidRDefault="00900F2A" w:rsidP="00BD065A">
      <w:pPr>
        <w:pStyle w:val="AEMCHeaderL4"/>
        <w:rPr>
          <w:rStyle w:val="Hyperlink"/>
          <w:b/>
        </w:rPr>
      </w:pPr>
    </w:p>
    <w:p w14:paraId="5FAB9DA0" w14:textId="77777777" w:rsidR="00900F2A" w:rsidRDefault="00900F2A" w:rsidP="00BD065A">
      <w:pPr>
        <w:pStyle w:val="AEMCHeaderL4"/>
        <w:rPr>
          <w:rStyle w:val="Hyperlink"/>
          <w:b/>
        </w:rPr>
      </w:pPr>
    </w:p>
    <w:p w14:paraId="0D1B8FA9" w14:textId="531B76DB" w:rsidR="00BD065A" w:rsidRPr="008A4886" w:rsidRDefault="00BD065A" w:rsidP="00BD065A">
      <w:pPr>
        <w:pStyle w:val="AEMCHeaderL4"/>
        <w:rPr>
          <w:rStyle w:val="Hyperlink"/>
        </w:rPr>
      </w:pPr>
      <w:r>
        <w:rPr>
          <w:rStyle w:val="Hyperlink"/>
          <w:b/>
        </w:rPr>
        <w:lastRenderedPageBreak/>
        <w:t xml:space="preserve">Question </w:t>
      </w:r>
      <w:r w:rsidR="00E04C5D">
        <w:rPr>
          <w:rStyle w:val="Hyperlink"/>
          <w:b/>
        </w:rPr>
        <w:t>5</w:t>
      </w:r>
      <w:r>
        <w:rPr>
          <w:rStyle w:val="Hyperlink"/>
          <w:b/>
        </w:rPr>
        <w:t xml:space="preserve"> – chapter </w:t>
      </w:r>
      <w:r w:rsidR="003F31F1">
        <w:rPr>
          <w:rStyle w:val="Hyperlink"/>
          <w:b/>
        </w:rPr>
        <w:t>5</w:t>
      </w:r>
      <w:r>
        <w:rPr>
          <w:rStyle w:val="Hyperlink"/>
          <w:b/>
        </w:rPr>
        <w:t xml:space="preserve"> </w:t>
      </w:r>
      <w:r w:rsidRPr="008A4886">
        <w:rPr>
          <w:rStyle w:val="Hyperlink"/>
        </w:rPr>
        <w:t xml:space="preserve">– </w:t>
      </w:r>
      <w:r w:rsidR="003F31F1">
        <w:t>Align market connection point classification with other regulatory changes</w:t>
      </w:r>
    </w:p>
    <w:tbl>
      <w:tblPr>
        <w:tblStyle w:val="TableGrid"/>
        <w:tblW w:w="1460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064"/>
      </w:tblGrid>
      <w:tr w:rsidR="007E1E83" w:rsidRPr="0000465F" w14:paraId="39D917CF" w14:textId="77777777" w:rsidTr="00A94EE6">
        <w:trPr>
          <w:trHeight w:val="503"/>
        </w:trPr>
        <w:tc>
          <w:tcPr>
            <w:tcW w:w="5537" w:type="dxa"/>
            <w:tcBorders>
              <w:top w:val="single" w:sz="18" w:space="0" w:color="00A8E5" w:themeColor="accent1"/>
              <w:right w:val="single" w:sz="2" w:space="0" w:color="58595B" w:themeColor="accent4"/>
            </w:tcBorders>
            <w:shd w:val="clear" w:color="auto" w:fill="F6F6F6"/>
          </w:tcPr>
          <w:p w14:paraId="7562FCB7" w14:textId="3FA2F131" w:rsidR="007E1E83" w:rsidRPr="0000465F" w:rsidRDefault="007E1E83" w:rsidP="00C0142B">
            <w:pPr>
              <w:pStyle w:val="AEMCTableBodyCopyNumbers"/>
              <w:numPr>
                <w:ilvl w:val="0"/>
                <w:numId w:val="25"/>
              </w:numPr>
              <w:rPr>
                <w:rStyle w:val="Hyperlink"/>
              </w:rPr>
            </w:pPr>
            <w:r w:rsidRPr="00FB12DA">
              <w:t>Has the problem been appropriately identified?</w:t>
            </w:r>
          </w:p>
        </w:tc>
        <w:tc>
          <w:tcPr>
            <w:tcW w:w="9064" w:type="dxa"/>
            <w:tcBorders>
              <w:top w:val="single" w:sz="18" w:space="0" w:color="00A8E5" w:themeColor="accent1"/>
              <w:left w:val="single" w:sz="2" w:space="0" w:color="58595B" w:themeColor="accent4"/>
            </w:tcBorders>
          </w:tcPr>
          <w:p w14:paraId="7185ECC4" w14:textId="77777777" w:rsidR="007E1E83" w:rsidRPr="00785222" w:rsidRDefault="007E1E83" w:rsidP="007E1E83">
            <w:pPr>
              <w:pStyle w:val="AEMCTableBodyCopy"/>
              <w:rPr>
                <w:rStyle w:val="Hyperlink"/>
              </w:rPr>
            </w:pPr>
          </w:p>
        </w:tc>
      </w:tr>
      <w:tr w:rsidR="007E1E83" w:rsidRPr="0000465F" w14:paraId="5B8364CA" w14:textId="77777777" w:rsidTr="00A94EE6">
        <w:trPr>
          <w:trHeight w:val="690"/>
        </w:trPr>
        <w:tc>
          <w:tcPr>
            <w:tcW w:w="5537" w:type="dxa"/>
            <w:tcBorders>
              <w:right w:val="single" w:sz="2" w:space="0" w:color="58595B" w:themeColor="accent4"/>
            </w:tcBorders>
            <w:shd w:val="clear" w:color="auto" w:fill="F6F6F6"/>
          </w:tcPr>
          <w:p w14:paraId="58733CBC" w14:textId="03B9FE73" w:rsidR="007E1E83" w:rsidRPr="0000465F" w:rsidRDefault="007E1E83" w:rsidP="007E1E83">
            <w:pPr>
              <w:pStyle w:val="AEMCTableBodyCopy"/>
              <w:numPr>
                <w:ilvl w:val="0"/>
                <w:numId w:val="6"/>
              </w:numPr>
              <w:rPr>
                <w:rStyle w:val="Hyperlink"/>
              </w:rPr>
            </w:pPr>
            <w:r w:rsidRPr="00FB12DA">
              <w:t>Does the rule change address the problem?</w:t>
            </w:r>
          </w:p>
        </w:tc>
        <w:tc>
          <w:tcPr>
            <w:tcW w:w="9064" w:type="dxa"/>
            <w:tcBorders>
              <w:left w:val="single" w:sz="2" w:space="0" w:color="58595B" w:themeColor="accent4"/>
            </w:tcBorders>
          </w:tcPr>
          <w:p w14:paraId="57EDDEA6" w14:textId="77777777" w:rsidR="007E1E83" w:rsidRPr="00785222" w:rsidRDefault="007E1E83" w:rsidP="007E1E83">
            <w:pPr>
              <w:pStyle w:val="AEMCTableBodyCopy"/>
              <w:rPr>
                <w:rStyle w:val="Hyperlink"/>
              </w:rPr>
            </w:pPr>
          </w:p>
        </w:tc>
      </w:tr>
      <w:tr w:rsidR="007E1E83" w:rsidRPr="0000465F" w14:paraId="09D570E6" w14:textId="77777777" w:rsidTr="00A94EE6">
        <w:trPr>
          <w:trHeight w:val="690"/>
        </w:trPr>
        <w:tc>
          <w:tcPr>
            <w:tcW w:w="5537" w:type="dxa"/>
            <w:tcBorders>
              <w:right w:val="single" w:sz="2" w:space="0" w:color="58595B" w:themeColor="accent4"/>
            </w:tcBorders>
            <w:shd w:val="clear" w:color="auto" w:fill="F6F6F6"/>
          </w:tcPr>
          <w:p w14:paraId="5ABE7518" w14:textId="280718E1" w:rsidR="007E1E83" w:rsidRDefault="007E1E83" w:rsidP="007E1E83">
            <w:pPr>
              <w:pStyle w:val="AEMCTableBodyCopy"/>
              <w:numPr>
                <w:ilvl w:val="0"/>
                <w:numId w:val="6"/>
              </w:numPr>
            </w:pPr>
            <w:r w:rsidRPr="00FB12DA">
              <w:t>What would be the market impact of making the proposed change?</w:t>
            </w:r>
          </w:p>
        </w:tc>
        <w:tc>
          <w:tcPr>
            <w:tcW w:w="9064" w:type="dxa"/>
            <w:tcBorders>
              <w:left w:val="single" w:sz="2" w:space="0" w:color="58595B" w:themeColor="accent4"/>
            </w:tcBorders>
          </w:tcPr>
          <w:p w14:paraId="579F0025" w14:textId="77777777" w:rsidR="007E1E83" w:rsidRPr="00785222" w:rsidRDefault="007E1E83" w:rsidP="007E1E83">
            <w:pPr>
              <w:pStyle w:val="AEMCTableBodyCopy"/>
              <w:rPr>
                <w:rStyle w:val="Hyperlink"/>
              </w:rPr>
            </w:pPr>
          </w:p>
        </w:tc>
      </w:tr>
      <w:tr w:rsidR="007E1E83" w:rsidRPr="0000465F" w14:paraId="7D0EDB99" w14:textId="77777777" w:rsidTr="00A94EE6">
        <w:trPr>
          <w:trHeight w:val="690"/>
        </w:trPr>
        <w:tc>
          <w:tcPr>
            <w:tcW w:w="5537" w:type="dxa"/>
            <w:tcBorders>
              <w:right w:val="single" w:sz="2" w:space="0" w:color="58595B" w:themeColor="accent4"/>
            </w:tcBorders>
            <w:shd w:val="clear" w:color="auto" w:fill="F6F6F6"/>
          </w:tcPr>
          <w:p w14:paraId="2E6A8D7F" w14:textId="743FC291" w:rsidR="007E1E83" w:rsidRDefault="007E1E83" w:rsidP="007E1E83">
            <w:pPr>
              <w:pStyle w:val="AEMCTableBodyCopy"/>
              <w:numPr>
                <w:ilvl w:val="0"/>
                <w:numId w:val="6"/>
              </w:numPr>
            </w:pPr>
            <w:r w:rsidRPr="00FB12DA">
              <w:t xml:space="preserve">Given that this wording was inserted as part of the </w:t>
            </w:r>
            <w:proofErr w:type="gramStart"/>
            <w:r w:rsidRPr="00FB12DA">
              <w:rPr>
                <w:rStyle w:val="proofreader-typo"/>
              </w:rPr>
              <w:t>Five Minute</w:t>
            </w:r>
            <w:proofErr w:type="gramEnd"/>
            <w:r w:rsidRPr="00FB12DA">
              <w:t xml:space="preserve"> Settlement rule which commenced on 1 October 2021, would this amendment impact any of the material changes made under the </w:t>
            </w:r>
            <w:r w:rsidRPr="00FB12DA">
              <w:rPr>
                <w:rStyle w:val="proofreader-typo"/>
              </w:rPr>
              <w:t>Five Minute</w:t>
            </w:r>
            <w:r w:rsidRPr="00FB12DA">
              <w:t xml:space="preserve"> Settlement rule?</w:t>
            </w:r>
          </w:p>
        </w:tc>
        <w:tc>
          <w:tcPr>
            <w:tcW w:w="9064" w:type="dxa"/>
            <w:tcBorders>
              <w:left w:val="single" w:sz="2" w:space="0" w:color="58595B" w:themeColor="accent4"/>
            </w:tcBorders>
          </w:tcPr>
          <w:p w14:paraId="48C307CB" w14:textId="77777777" w:rsidR="007E1E83" w:rsidRPr="00785222" w:rsidRDefault="007E1E83" w:rsidP="007E1E83">
            <w:pPr>
              <w:pStyle w:val="AEMCTableBodyCopy"/>
              <w:rPr>
                <w:rStyle w:val="Hyperlink"/>
              </w:rPr>
            </w:pPr>
          </w:p>
        </w:tc>
      </w:tr>
      <w:tr w:rsidR="007E1E83" w:rsidRPr="0000465F" w14:paraId="6D1BE64F" w14:textId="77777777" w:rsidTr="00A94EE6">
        <w:trPr>
          <w:trHeight w:val="690"/>
        </w:trPr>
        <w:tc>
          <w:tcPr>
            <w:tcW w:w="5537" w:type="dxa"/>
            <w:tcBorders>
              <w:right w:val="single" w:sz="2" w:space="0" w:color="58595B" w:themeColor="accent4"/>
            </w:tcBorders>
            <w:shd w:val="clear" w:color="auto" w:fill="F6F6F6"/>
          </w:tcPr>
          <w:p w14:paraId="5E80D400" w14:textId="77777777" w:rsidR="007E1E83" w:rsidRDefault="007E1E83" w:rsidP="007E1E83">
            <w:pPr>
              <w:pStyle w:val="AEMCTableBodyCopy"/>
              <w:numPr>
                <w:ilvl w:val="0"/>
                <w:numId w:val="6"/>
              </w:numPr>
            </w:pPr>
            <w:r w:rsidRPr="00FA5FBD">
              <w:t>Does the proposed change:</w:t>
            </w:r>
          </w:p>
          <w:p w14:paraId="0F51FC6A" w14:textId="77777777" w:rsidR="007E1E83" w:rsidRDefault="007E1E83" w:rsidP="007E1E83">
            <w:pPr>
              <w:pStyle w:val="AEMCTableBodyCopy"/>
              <w:numPr>
                <w:ilvl w:val="1"/>
                <w:numId w:val="6"/>
              </w:numPr>
            </w:pPr>
            <w:r w:rsidRPr="00FA5FBD">
              <w:rPr>
                <w:rStyle w:val="proofreader-typo"/>
              </w:rPr>
              <w:t>reduce</w:t>
            </w:r>
            <w:r w:rsidRPr="00FA5FBD">
              <w:t xml:space="preserve"> the cost and complexity of implementing the IESS rule?</w:t>
            </w:r>
          </w:p>
          <w:p w14:paraId="57F6E378" w14:textId="77777777" w:rsidR="007E1E83" w:rsidRDefault="007E1E83" w:rsidP="007E1E83">
            <w:pPr>
              <w:pStyle w:val="AEMCTableBodyCopy"/>
              <w:numPr>
                <w:ilvl w:val="1"/>
                <w:numId w:val="6"/>
              </w:numPr>
            </w:pPr>
            <w:r w:rsidRPr="00FA5FBD">
              <w:rPr>
                <w:rStyle w:val="proofreader-typo"/>
              </w:rPr>
              <w:t>reduce</w:t>
            </w:r>
            <w:r w:rsidRPr="00FA5FBD">
              <w:t xml:space="preserve"> market uncertainty</w:t>
            </w:r>
            <w:r>
              <w:t>?</w:t>
            </w:r>
          </w:p>
          <w:p w14:paraId="6CE1BB55" w14:textId="6AA5067D" w:rsidR="007E1E83" w:rsidRPr="00FB12DA" w:rsidRDefault="007E1E83" w:rsidP="007E1E83">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9064" w:type="dxa"/>
            <w:tcBorders>
              <w:left w:val="single" w:sz="2" w:space="0" w:color="58595B" w:themeColor="accent4"/>
            </w:tcBorders>
          </w:tcPr>
          <w:p w14:paraId="2ADCA112" w14:textId="77777777" w:rsidR="007E1E83" w:rsidRPr="00785222" w:rsidRDefault="007E1E83" w:rsidP="007E1E83">
            <w:pPr>
              <w:pStyle w:val="AEMCTableBodyCopy"/>
              <w:rPr>
                <w:rStyle w:val="Hyperlink"/>
              </w:rPr>
            </w:pPr>
          </w:p>
        </w:tc>
      </w:tr>
      <w:tr w:rsidR="00A34A34" w:rsidRPr="0000465F" w14:paraId="5E35EF69" w14:textId="77777777" w:rsidTr="00A94EE6">
        <w:trPr>
          <w:trHeight w:val="690"/>
        </w:trPr>
        <w:tc>
          <w:tcPr>
            <w:tcW w:w="5537" w:type="dxa"/>
            <w:tcBorders>
              <w:right w:val="single" w:sz="2" w:space="0" w:color="58595B" w:themeColor="accent4"/>
            </w:tcBorders>
            <w:shd w:val="clear" w:color="auto" w:fill="F6F6F6"/>
          </w:tcPr>
          <w:p w14:paraId="089C9222" w14:textId="562E6D7A" w:rsidR="00A34A34" w:rsidRPr="00FA5FBD" w:rsidRDefault="00A34A34" w:rsidP="007E1E83">
            <w:pPr>
              <w:pStyle w:val="AEMCTableBodyCopy"/>
              <w:numPr>
                <w:ilvl w:val="0"/>
                <w:numId w:val="6"/>
              </w:numPr>
            </w:pPr>
            <w:r w:rsidRPr="00FB12DA">
              <w:t>Are there other solutions that would better solve the problem?</w:t>
            </w:r>
          </w:p>
        </w:tc>
        <w:tc>
          <w:tcPr>
            <w:tcW w:w="9064" w:type="dxa"/>
            <w:tcBorders>
              <w:left w:val="single" w:sz="2" w:space="0" w:color="58595B" w:themeColor="accent4"/>
            </w:tcBorders>
          </w:tcPr>
          <w:p w14:paraId="799EDA9F" w14:textId="77777777" w:rsidR="00A34A34" w:rsidRPr="00785222" w:rsidRDefault="00A34A34" w:rsidP="007E1E83">
            <w:pPr>
              <w:pStyle w:val="AEMCTableBodyCopy"/>
              <w:rPr>
                <w:rStyle w:val="Hyperlink"/>
              </w:rPr>
            </w:pPr>
          </w:p>
        </w:tc>
      </w:tr>
    </w:tbl>
    <w:p w14:paraId="4FE1DED7" w14:textId="77777777" w:rsidR="004D39F0" w:rsidRDefault="004D39F0" w:rsidP="00813365">
      <w:pPr>
        <w:pStyle w:val="AEMCHeaderL4"/>
        <w:rPr>
          <w:rStyle w:val="Hyperlink"/>
          <w:b/>
        </w:rPr>
      </w:pPr>
    </w:p>
    <w:p w14:paraId="45005FD9" w14:textId="77777777" w:rsidR="004D39F0" w:rsidRDefault="004D39F0">
      <w:pPr>
        <w:spacing w:line="259" w:lineRule="auto"/>
        <w:rPr>
          <w:rStyle w:val="Hyperlink"/>
          <w:rFonts w:cs="Times New Roman (Body CS)"/>
          <w:b/>
          <w:caps/>
          <w:color w:val="00A8E5" w:themeColor="accent1"/>
          <w:sz w:val="22"/>
          <w:szCs w:val="24"/>
        </w:rPr>
      </w:pPr>
      <w:r>
        <w:rPr>
          <w:rStyle w:val="Hyperlink"/>
          <w:b/>
        </w:rPr>
        <w:br w:type="page"/>
      </w:r>
    </w:p>
    <w:p w14:paraId="2043488E" w14:textId="733311EF" w:rsidR="00813365" w:rsidRPr="008A4886" w:rsidRDefault="00813365" w:rsidP="00813365">
      <w:pPr>
        <w:pStyle w:val="AEMCHeaderL4"/>
        <w:rPr>
          <w:rStyle w:val="Hyperlink"/>
        </w:rPr>
      </w:pPr>
      <w:r>
        <w:rPr>
          <w:rStyle w:val="Hyperlink"/>
          <w:b/>
        </w:rPr>
        <w:lastRenderedPageBreak/>
        <w:t xml:space="preserve">Question </w:t>
      </w:r>
      <w:r w:rsidR="00E04C5D">
        <w:rPr>
          <w:rStyle w:val="Hyperlink"/>
          <w:b/>
        </w:rPr>
        <w:t>6</w:t>
      </w:r>
      <w:r>
        <w:rPr>
          <w:rStyle w:val="Hyperlink"/>
          <w:b/>
        </w:rPr>
        <w:t xml:space="preserve"> – chapter </w:t>
      </w:r>
      <w:r w:rsidR="0021791C">
        <w:rPr>
          <w:rStyle w:val="Hyperlink"/>
          <w:b/>
        </w:rPr>
        <w:t>5</w:t>
      </w:r>
      <w:r w:rsidR="00E04C5D">
        <w:rPr>
          <w:rStyle w:val="Hyperlink"/>
          <w:b/>
        </w:rPr>
        <w:t xml:space="preserve"> </w:t>
      </w:r>
      <w:r w:rsidRPr="008A4886">
        <w:rPr>
          <w:rStyle w:val="Hyperlink"/>
        </w:rPr>
        <w:t xml:space="preserve">– </w:t>
      </w:r>
      <w:r w:rsidR="0021791C">
        <w:t>Amend ancillary service unit classification</w:t>
      </w:r>
    </w:p>
    <w:tbl>
      <w:tblPr>
        <w:tblStyle w:val="TableGrid"/>
        <w:tblW w:w="1445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6"/>
        <w:gridCol w:w="8923"/>
      </w:tblGrid>
      <w:tr w:rsidR="007B5AAF" w:rsidRPr="0000465F" w14:paraId="20A9C298" w14:textId="77777777" w:rsidTr="00A94EE6">
        <w:trPr>
          <w:trHeight w:val="620"/>
        </w:trPr>
        <w:tc>
          <w:tcPr>
            <w:tcW w:w="5536" w:type="dxa"/>
            <w:tcBorders>
              <w:top w:val="single" w:sz="18" w:space="0" w:color="00A8E5" w:themeColor="accent1"/>
              <w:right w:val="single" w:sz="2" w:space="0" w:color="58595B" w:themeColor="accent4"/>
            </w:tcBorders>
            <w:shd w:val="clear" w:color="auto" w:fill="F6F6F6"/>
          </w:tcPr>
          <w:p w14:paraId="5043411B" w14:textId="5191202E" w:rsidR="007B5AAF" w:rsidRPr="0000465F" w:rsidRDefault="007B5AAF" w:rsidP="007B5AAF">
            <w:pPr>
              <w:pStyle w:val="AEMCTableBodyCopyNumbers"/>
              <w:numPr>
                <w:ilvl w:val="0"/>
                <w:numId w:val="26"/>
              </w:numPr>
              <w:rPr>
                <w:rStyle w:val="Hyperlink"/>
              </w:rPr>
            </w:pPr>
            <w:r w:rsidRPr="00E13635">
              <w:t>Has the problem been appropriately identified?</w:t>
            </w:r>
          </w:p>
        </w:tc>
        <w:tc>
          <w:tcPr>
            <w:tcW w:w="8923" w:type="dxa"/>
            <w:tcBorders>
              <w:top w:val="single" w:sz="18" w:space="0" w:color="00A8E5" w:themeColor="accent1"/>
              <w:left w:val="single" w:sz="2" w:space="0" w:color="58595B" w:themeColor="accent4"/>
            </w:tcBorders>
          </w:tcPr>
          <w:p w14:paraId="3F259AA0" w14:textId="77777777" w:rsidR="007B5AAF" w:rsidRPr="00785222" w:rsidRDefault="007B5AAF" w:rsidP="007B5AAF">
            <w:pPr>
              <w:pStyle w:val="AEMCTableBodyCopy"/>
              <w:rPr>
                <w:rStyle w:val="Hyperlink"/>
              </w:rPr>
            </w:pPr>
          </w:p>
        </w:tc>
      </w:tr>
      <w:tr w:rsidR="007B5AAF" w:rsidRPr="0000465F" w14:paraId="4651F84D" w14:textId="77777777" w:rsidTr="00A94EE6">
        <w:trPr>
          <w:trHeight w:val="850"/>
        </w:trPr>
        <w:tc>
          <w:tcPr>
            <w:tcW w:w="5536" w:type="dxa"/>
            <w:tcBorders>
              <w:right w:val="single" w:sz="2" w:space="0" w:color="58595B" w:themeColor="accent4"/>
            </w:tcBorders>
            <w:shd w:val="clear" w:color="auto" w:fill="F6F6F6"/>
          </w:tcPr>
          <w:p w14:paraId="2B9B0C39" w14:textId="70532A89" w:rsidR="007B5AAF" w:rsidRPr="0000465F" w:rsidRDefault="007B5AAF" w:rsidP="007B5AAF">
            <w:pPr>
              <w:pStyle w:val="AEMCTableBodyCopy"/>
              <w:numPr>
                <w:ilvl w:val="0"/>
                <w:numId w:val="6"/>
              </w:numPr>
              <w:rPr>
                <w:rStyle w:val="Hyperlink"/>
              </w:rPr>
            </w:pPr>
            <w:r w:rsidRPr="00E13635">
              <w:t>Does the rule change address the problem?</w:t>
            </w:r>
          </w:p>
        </w:tc>
        <w:tc>
          <w:tcPr>
            <w:tcW w:w="8923" w:type="dxa"/>
            <w:tcBorders>
              <w:left w:val="single" w:sz="2" w:space="0" w:color="58595B" w:themeColor="accent4"/>
            </w:tcBorders>
          </w:tcPr>
          <w:p w14:paraId="7630B9B9" w14:textId="2DC58F14" w:rsidR="007B5AAF" w:rsidRPr="00785222" w:rsidRDefault="007B5AAF" w:rsidP="007B5AAF">
            <w:pPr>
              <w:pStyle w:val="AEMCTableBodyCopy"/>
              <w:rPr>
                <w:rStyle w:val="Hyperlink"/>
              </w:rPr>
            </w:pPr>
          </w:p>
        </w:tc>
      </w:tr>
      <w:tr w:rsidR="007B5AAF" w:rsidRPr="0000465F" w14:paraId="57906F47" w14:textId="77777777" w:rsidTr="00A94EE6">
        <w:trPr>
          <w:trHeight w:val="850"/>
        </w:trPr>
        <w:tc>
          <w:tcPr>
            <w:tcW w:w="5536" w:type="dxa"/>
            <w:tcBorders>
              <w:right w:val="single" w:sz="2" w:space="0" w:color="58595B" w:themeColor="accent4"/>
            </w:tcBorders>
            <w:shd w:val="clear" w:color="auto" w:fill="F6F6F6"/>
          </w:tcPr>
          <w:p w14:paraId="1DDDD911" w14:textId="4193CC72" w:rsidR="007B5AAF" w:rsidRDefault="007B5AAF" w:rsidP="007B5AAF">
            <w:pPr>
              <w:pStyle w:val="AEMCTableBodyCopy"/>
              <w:numPr>
                <w:ilvl w:val="0"/>
                <w:numId w:val="6"/>
              </w:numPr>
            </w:pPr>
            <w:r w:rsidRPr="00E13635">
              <w:t>What would the market impact be in making the proposed change?</w:t>
            </w:r>
          </w:p>
        </w:tc>
        <w:tc>
          <w:tcPr>
            <w:tcW w:w="8923" w:type="dxa"/>
            <w:tcBorders>
              <w:left w:val="single" w:sz="2" w:space="0" w:color="58595B" w:themeColor="accent4"/>
            </w:tcBorders>
          </w:tcPr>
          <w:p w14:paraId="62DD1C38" w14:textId="77777777" w:rsidR="007B5AAF" w:rsidRPr="00785222" w:rsidRDefault="007B5AAF" w:rsidP="007B5AAF">
            <w:pPr>
              <w:pStyle w:val="AEMCTableBodyCopy"/>
              <w:rPr>
                <w:rStyle w:val="Hyperlink"/>
              </w:rPr>
            </w:pPr>
          </w:p>
        </w:tc>
      </w:tr>
      <w:tr w:rsidR="007B5AAF" w:rsidRPr="0000465F" w14:paraId="329B5C84" w14:textId="77777777" w:rsidTr="00A94EE6">
        <w:trPr>
          <w:trHeight w:val="850"/>
        </w:trPr>
        <w:tc>
          <w:tcPr>
            <w:tcW w:w="5536" w:type="dxa"/>
            <w:tcBorders>
              <w:right w:val="single" w:sz="2" w:space="0" w:color="58595B" w:themeColor="accent4"/>
            </w:tcBorders>
            <w:shd w:val="clear" w:color="auto" w:fill="F6F6F6"/>
          </w:tcPr>
          <w:p w14:paraId="70C58E6F" w14:textId="33D59CC5" w:rsidR="007B5AAF" w:rsidRDefault="007B5AAF" w:rsidP="007B5AAF">
            <w:pPr>
              <w:pStyle w:val="AEMCTableBodyCopy"/>
              <w:numPr>
                <w:ilvl w:val="0"/>
                <w:numId w:val="6"/>
              </w:numPr>
            </w:pPr>
            <w:r w:rsidRPr="00E13635">
              <w:t>Would this amendment lead to any unintended additional customers at connection points being included in the provision?</w:t>
            </w:r>
          </w:p>
        </w:tc>
        <w:tc>
          <w:tcPr>
            <w:tcW w:w="8923" w:type="dxa"/>
            <w:tcBorders>
              <w:left w:val="single" w:sz="2" w:space="0" w:color="58595B" w:themeColor="accent4"/>
            </w:tcBorders>
          </w:tcPr>
          <w:p w14:paraId="65F63D52" w14:textId="77777777" w:rsidR="007B5AAF" w:rsidRPr="00785222" w:rsidRDefault="007B5AAF" w:rsidP="007B5AAF">
            <w:pPr>
              <w:pStyle w:val="AEMCTableBodyCopy"/>
              <w:rPr>
                <w:rStyle w:val="Hyperlink"/>
              </w:rPr>
            </w:pPr>
          </w:p>
        </w:tc>
      </w:tr>
      <w:tr w:rsidR="00C0142B" w:rsidRPr="0000465F" w14:paraId="2E858A39" w14:textId="77777777" w:rsidTr="00A94EE6">
        <w:trPr>
          <w:trHeight w:val="850"/>
        </w:trPr>
        <w:tc>
          <w:tcPr>
            <w:tcW w:w="5536" w:type="dxa"/>
            <w:tcBorders>
              <w:right w:val="single" w:sz="2" w:space="0" w:color="58595B" w:themeColor="accent4"/>
            </w:tcBorders>
            <w:shd w:val="clear" w:color="auto" w:fill="F6F6F6"/>
          </w:tcPr>
          <w:p w14:paraId="0B677377" w14:textId="77777777" w:rsidR="007B5AAF" w:rsidRDefault="007B5AAF" w:rsidP="007B5AAF">
            <w:pPr>
              <w:pStyle w:val="AEMCTableBodyCopy"/>
              <w:numPr>
                <w:ilvl w:val="0"/>
                <w:numId w:val="6"/>
              </w:numPr>
            </w:pPr>
            <w:r w:rsidRPr="00FA5FBD">
              <w:t>Does the proposed change:</w:t>
            </w:r>
          </w:p>
          <w:p w14:paraId="1AC5461E" w14:textId="77777777" w:rsidR="007B5AAF" w:rsidRDefault="007B5AAF" w:rsidP="007B5AAF">
            <w:pPr>
              <w:pStyle w:val="AEMCTableBodyCopy"/>
              <w:numPr>
                <w:ilvl w:val="1"/>
                <w:numId w:val="6"/>
              </w:numPr>
            </w:pPr>
            <w:r w:rsidRPr="00FA5FBD">
              <w:rPr>
                <w:rStyle w:val="proofreader-typo"/>
              </w:rPr>
              <w:t>reduce</w:t>
            </w:r>
            <w:r w:rsidRPr="00FA5FBD">
              <w:t xml:space="preserve"> the cost and complexity of implementing the IESS rule?</w:t>
            </w:r>
          </w:p>
          <w:p w14:paraId="61177E61" w14:textId="77777777" w:rsidR="007B5AAF" w:rsidRDefault="007B5AAF" w:rsidP="007B5AAF">
            <w:pPr>
              <w:pStyle w:val="AEMCTableBodyCopy"/>
              <w:numPr>
                <w:ilvl w:val="1"/>
                <w:numId w:val="6"/>
              </w:numPr>
            </w:pPr>
            <w:r w:rsidRPr="00FA5FBD">
              <w:rPr>
                <w:rStyle w:val="proofreader-typo"/>
              </w:rPr>
              <w:t>reduce</w:t>
            </w:r>
            <w:r w:rsidRPr="00FA5FBD">
              <w:t xml:space="preserve"> market uncertainty</w:t>
            </w:r>
            <w:r>
              <w:t>?</w:t>
            </w:r>
          </w:p>
          <w:p w14:paraId="16F8EDBC" w14:textId="4FA0A645" w:rsidR="00C0142B" w:rsidRDefault="007B5AAF" w:rsidP="007B5AAF">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8923" w:type="dxa"/>
            <w:tcBorders>
              <w:left w:val="single" w:sz="2" w:space="0" w:color="58595B" w:themeColor="accent4"/>
            </w:tcBorders>
          </w:tcPr>
          <w:p w14:paraId="66C4FF5D" w14:textId="77777777" w:rsidR="00C0142B" w:rsidRPr="00785222" w:rsidRDefault="00C0142B" w:rsidP="005C55A2">
            <w:pPr>
              <w:pStyle w:val="AEMCTableBodyCopy"/>
              <w:rPr>
                <w:rStyle w:val="Hyperlink"/>
              </w:rPr>
            </w:pPr>
          </w:p>
        </w:tc>
      </w:tr>
      <w:tr w:rsidR="00656898" w:rsidRPr="0000465F" w14:paraId="41FA343F" w14:textId="77777777" w:rsidTr="00A94EE6">
        <w:trPr>
          <w:trHeight w:val="850"/>
        </w:trPr>
        <w:tc>
          <w:tcPr>
            <w:tcW w:w="5536" w:type="dxa"/>
            <w:tcBorders>
              <w:right w:val="single" w:sz="2" w:space="0" w:color="58595B" w:themeColor="accent4"/>
            </w:tcBorders>
            <w:shd w:val="clear" w:color="auto" w:fill="F6F6F6"/>
          </w:tcPr>
          <w:p w14:paraId="3959F962" w14:textId="20BB5E11" w:rsidR="00656898" w:rsidRPr="00FA5FBD" w:rsidRDefault="00656898" w:rsidP="007B5AAF">
            <w:pPr>
              <w:pStyle w:val="AEMCTableBodyCopy"/>
              <w:numPr>
                <w:ilvl w:val="0"/>
                <w:numId w:val="6"/>
              </w:numPr>
            </w:pPr>
            <w:r w:rsidRPr="00E13635">
              <w:t>Are there other solutions that would better solve the problem?</w:t>
            </w:r>
          </w:p>
        </w:tc>
        <w:tc>
          <w:tcPr>
            <w:tcW w:w="8923" w:type="dxa"/>
            <w:tcBorders>
              <w:left w:val="single" w:sz="2" w:space="0" w:color="58595B" w:themeColor="accent4"/>
            </w:tcBorders>
          </w:tcPr>
          <w:p w14:paraId="4BC0E411" w14:textId="77777777" w:rsidR="00656898" w:rsidRPr="00785222" w:rsidRDefault="00656898" w:rsidP="005C55A2">
            <w:pPr>
              <w:pStyle w:val="AEMCTableBodyCopy"/>
              <w:rPr>
                <w:rStyle w:val="Hyperlink"/>
              </w:rPr>
            </w:pPr>
          </w:p>
        </w:tc>
      </w:tr>
    </w:tbl>
    <w:p w14:paraId="59E89E21" w14:textId="77777777" w:rsidR="00656898" w:rsidRDefault="00656898" w:rsidP="00132596">
      <w:pPr>
        <w:pStyle w:val="AEMCHeaderL4"/>
        <w:rPr>
          <w:rStyle w:val="Hyperlink"/>
          <w:b/>
        </w:rPr>
      </w:pPr>
    </w:p>
    <w:p w14:paraId="4D59C94E" w14:textId="77777777" w:rsidR="00656898" w:rsidRDefault="00656898" w:rsidP="00132596">
      <w:pPr>
        <w:pStyle w:val="AEMCHeaderL4"/>
        <w:rPr>
          <w:rStyle w:val="Hyperlink"/>
          <w:b/>
        </w:rPr>
      </w:pPr>
    </w:p>
    <w:p w14:paraId="13CABE1C" w14:textId="77777777" w:rsidR="00656898" w:rsidRDefault="00656898" w:rsidP="00132596">
      <w:pPr>
        <w:pStyle w:val="AEMCHeaderL4"/>
        <w:rPr>
          <w:rStyle w:val="Hyperlink"/>
          <w:b/>
        </w:rPr>
      </w:pPr>
    </w:p>
    <w:p w14:paraId="6C32172F" w14:textId="77777777" w:rsidR="00656898" w:rsidRDefault="00656898" w:rsidP="00132596">
      <w:pPr>
        <w:pStyle w:val="AEMCHeaderL4"/>
        <w:rPr>
          <w:rStyle w:val="Hyperlink"/>
          <w:b/>
        </w:rPr>
      </w:pPr>
    </w:p>
    <w:p w14:paraId="0B000103" w14:textId="63EBE80D" w:rsidR="00132596" w:rsidRPr="008A4886" w:rsidRDefault="00132596" w:rsidP="00132596">
      <w:pPr>
        <w:pStyle w:val="AEMCHeaderL4"/>
        <w:rPr>
          <w:rStyle w:val="Hyperlink"/>
        </w:rPr>
      </w:pPr>
      <w:r>
        <w:rPr>
          <w:rStyle w:val="Hyperlink"/>
          <w:b/>
        </w:rPr>
        <w:lastRenderedPageBreak/>
        <w:t xml:space="preserve">Question </w:t>
      </w:r>
      <w:r w:rsidR="00E04C5D">
        <w:rPr>
          <w:rStyle w:val="Hyperlink"/>
          <w:b/>
        </w:rPr>
        <w:t>7</w:t>
      </w:r>
      <w:r>
        <w:rPr>
          <w:rStyle w:val="Hyperlink"/>
          <w:b/>
        </w:rPr>
        <w:t xml:space="preserve"> – chapter </w:t>
      </w:r>
      <w:r w:rsidR="007B5AAF">
        <w:rPr>
          <w:rStyle w:val="Hyperlink"/>
          <w:b/>
        </w:rPr>
        <w:t>5</w:t>
      </w:r>
      <w:r>
        <w:rPr>
          <w:rStyle w:val="Hyperlink"/>
          <w:b/>
        </w:rPr>
        <w:t xml:space="preserve"> </w:t>
      </w:r>
      <w:r w:rsidRPr="008A4886">
        <w:rPr>
          <w:rStyle w:val="Hyperlink"/>
        </w:rPr>
        <w:t xml:space="preserve">– </w:t>
      </w:r>
      <w:r w:rsidR="00AE072F">
        <w:t>Align requirements for distribution networks to calculate distribution loss factors with new registration categories</w:t>
      </w:r>
    </w:p>
    <w:tbl>
      <w:tblPr>
        <w:tblStyle w:val="TableGrid"/>
        <w:tblW w:w="1445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8922"/>
      </w:tblGrid>
      <w:tr w:rsidR="00AE072F" w:rsidRPr="0000465F" w14:paraId="62F0541F" w14:textId="77777777" w:rsidTr="00A94EE6">
        <w:trPr>
          <w:trHeight w:val="1762"/>
        </w:trPr>
        <w:tc>
          <w:tcPr>
            <w:tcW w:w="5537" w:type="dxa"/>
            <w:tcBorders>
              <w:top w:val="single" w:sz="18" w:space="0" w:color="00A8E5" w:themeColor="accent1"/>
              <w:right w:val="single" w:sz="2" w:space="0" w:color="58595B" w:themeColor="accent4"/>
            </w:tcBorders>
            <w:shd w:val="clear" w:color="auto" w:fill="F6F6F6"/>
          </w:tcPr>
          <w:p w14:paraId="1A337D20" w14:textId="2C660BBA" w:rsidR="00AE072F" w:rsidRPr="0000465F" w:rsidRDefault="00AE072F" w:rsidP="00AE072F">
            <w:pPr>
              <w:pStyle w:val="AEMCTableBodyCopyNumbers"/>
              <w:numPr>
                <w:ilvl w:val="0"/>
                <w:numId w:val="27"/>
              </w:numPr>
              <w:rPr>
                <w:rStyle w:val="Hyperlink"/>
              </w:rPr>
            </w:pPr>
            <w:r w:rsidRPr="003923E4">
              <w:t>Has the problem been appropriately identified?</w:t>
            </w:r>
          </w:p>
        </w:tc>
        <w:tc>
          <w:tcPr>
            <w:tcW w:w="8922" w:type="dxa"/>
            <w:tcBorders>
              <w:top w:val="single" w:sz="18" w:space="0" w:color="00A8E5" w:themeColor="accent1"/>
              <w:left w:val="single" w:sz="2" w:space="0" w:color="58595B" w:themeColor="accent4"/>
            </w:tcBorders>
          </w:tcPr>
          <w:p w14:paraId="4453EE78" w14:textId="77777777" w:rsidR="00AE072F" w:rsidRPr="00785222" w:rsidRDefault="00AE072F" w:rsidP="00AE072F">
            <w:pPr>
              <w:pStyle w:val="AEMCTableBodyCopy"/>
              <w:rPr>
                <w:rStyle w:val="Hyperlink"/>
              </w:rPr>
            </w:pPr>
          </w:p>
        </w:tc>
      </w:tr>
      <w:tr w:rsidR="00AE072F" w:rsidRPr="0000465F" w14:paraId="5EDEC44A" w14:textId="77777777" w:rsidTr="00A94EE6">
        <w:trPr>
          <w:trHeight w:val="493"/>
        </w:trPr>
        <w:tc>
          <w:tcPr>
            <w:tcW w:w="5537" w:type="dxa"/>
            <w:tcBorders>
              <w:right w:val="single" w:sz="2" w:space="0" w:color="58595B" w:themeColor="accent4"/>
            </w:tcBorders>
            <w:shd w:val="clear" w:color="auto" w:fill="F6F6F6"/>
          </w:tcPr>
          <w:p w14:paraId="38D823FF" w14:textId="696DBEE7" w:rsidR="00AE072F" w:rsidRPr="0000465F" w:rsidRDefault="00AE072F" w:rsidP="00AE072F">
            <w:pPr>
              <w:pStyle w:val="AEMCTableBodyCopy"/>
              <w:numPr>
                <w:ilvl w:val="0"/>
                <w:numId w:val="6"/>
              </w:numPr>
              <w:rPr>
                <w:rStyle w:val="Hyperlink"/>
              </w:rPr>
            </w:pPr>
            <w:r w:rsidRPr="003923E4">
              <w:t>Does the rule change address the problem?</w:t>
            </w:r>
          </w:p>
        </w:tc>
        <w:tc>
          <w:tcPr>
            <w:tcW w:w="8922" w:type="dxa"/>
            <w:tcBorders>
              <w:left w:val="single" w:sz="2" w:space="0" w:color="58595B" w:themeColor="accent4"/>
            </w:tcBorders>
          </w:tcPr>
          <w:p w14:paraId="56E9B558" w14:textId="77777777" w:rsidR="00AE072F" w:rsidRPr="00785222" w:rsidRDefault="00AE072F" w:rsidP="00AE072F">
            <w:pPr>
              <w:pStyle w:val="AEMCTableBodyCopy"/>
              <w:rPr>
                <w:rStyle w:val="Hyperlink"/>
              </w:rPr>
            </w:pPr>
          </w:p>
        </w:tc>
      </w:tr>
      <w:tr w:rsidR="00AE072F" w:rsidRPr="0000465F" w14:paraId="042CF76D" w14:textId="77777777" w:rsidTr="00A94EE6">
        <w:trPr>
          <w:trHeight w:val="493"/>
        </w:trPr>
        <w:tc>
          <w:tcPr>
            <w:tcW w:w="5537" w:type="dxa"/>
            <w:tcBorders>
              <w:right w:val="single" w:sz="2" w:space="0" w:color="58595B" w:themeColor="accent4"/>
            </w:tcBorders>
            <w:shd w:val="clear" w:color="auto" w:fill="F6F6F6"/>
          </w:tcPr>
          <w:p w14:paraId="2949646E" w14:textId="32419D87" w:rsidR="00AE072F" w:rsidRDefault="00AE072F" w:rsidP="00AE072F">
            <w:pPr>
              <w:pStyle w:val="AEMCTableBodyCopy"/>
              <w:numPr>
                <w:ilvl w:val="0"/>
                <w:numId w:val="6"/>
              </w:numPr>
            </w:pPr>
            <w:r w:rsidRPr="003923E4">
              <w:t>What would be the market impact of making the proposed change?</w:t>
            </w:r>
          </w:p>
        </w:tc>
        <w:tc>
          <w:tcPr>
            <w:tcW w:w="8922" w:type="dxa"/>
            <w:tcBorders>
              <w:left w:val="single" w:sz="2" w:space="0" w:color="58595B" w:themeColor="accent4"/>
            </w:tcBorders>
          </w:tcPr>
          <w:p w14:paraId="7F9EA500" w14:textId="77777777" w:rsidR="00AE072F" w:rsidRPr="00785222" w:rsidRDefault="00AE072F" w:rsidP="00AE072F">
            <w:pPr>
              <w:pStyle w:val="AEMCTableBodyCopy"/>
              <w:rPr>
                <w:rStyle w:val="Hyperlink"/>
              </w:rPr>
            </w:pPr>
          </w:p>
        </w:tc>
      </w:tr>
      <w:tr w:rsidR="00AE072F" w:rsidRPr="0000465F" w14:paraId="67DAD21E" w14:textId="77777777" w:rsidTr="00A94EE6">
        <w:trPr>
          <w:trHeight w:val="493"/>
        </w:trPr>
        <w:tc>
          <w:tcPr>
            <w:tcW w:w="5537" w:type="dxa"/>
            <w:tcBorders>
              <w:right w:val="single" w:sz="2" w:space="0" w:color="58595B" w:themeColor="accent4"/>
            </w:tcBorders>
            <w:shd w:val="clear" w:color="auto" w:fill="F6F6F6"/>
          </w:tcPr>
          <w:p w14:paraId="79FC457E" w14:textId="77777777" w:rsidR="00AE072F" w:rsidRDefault="00AE072F" w:rsidP="00AE072F">
            <w:pPr>
              <w:pStyle w:val="AEMCTableBodyCopy"/>
              <w:numPr>
                <w:ilvl w:val="0"/>
                <w:numId w:val="6"/>
              </w:numPr>
            </w:pPr>
            <w:r w:rsidRPr="00FA5FBD">
              <w:t>Does the proposed change:</w:t>
            </w:r>
          </w:p>
          <w:p w14:paraId="5E02FB84" w14:textId="77777777" w:rsidR="00AE072F" w:rsidRDefault="00AE072F" w:rsidP="00AE072F">
            <w:pPr>
              <w:pStyle w:val="AEMCTableBodyCopy"/>
              <w:numPr>
                <w:ilvl w:val="1"/>
                <w:numId w:val="6"/>
              </w:numPr>
            </w:pPr>
            <w:r w:rsidRPr="00FA5FBD">
              <w:rPr>
                <w:rStyle w:val="proofreader-typo"/>
              </w:rPr>
              <w:t>reduce</w:t>
            </w:r>
            <w:r w:rsidRPr="00FA5FBD">
              <w:t xml:space="preserve"> the cost and complexity of implementing the IESS rule?</w:t>
            </w:r>
          </w:p>
          <w:p w14:paraId="020D7244" w14:textId="77777777" w:rsidR="00AE072F" w:rsidRDefault="00AE072F" w:rsidP="00AE072F">
            <w:pPr>
              <w:pStyle w:val="AEMCTableBodyCopy"/>
              <w:numPr>
                <w:ilvl w:val="1"/>
                <w:numId w:val="6"/>
              </w:numPr>
            </w:pPr>
            <w:r w:rsidRPr="00FA5FBD">
              <w:rPr>
                <w:rStyle w:val="proofreader-typo"/>
              </w:rPr>
              <w:t>reduce</w:t>
            </w:r>
            <w:r w:rsidRPr="00FA5FBD">
              <w:t xml:space="preserve"> market uncertainty</w:t>
            </w:r>
            <w:r>
              <w:t>?</w:t>
            </w:r>
          </w:p>
          <w:p w14:paraId="33A5663A" w14:textId="394E0B1F" w:rsidR="00AE072F" w:rsidRDefault="00AE072F" w:rsidP="00AE072F">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8922" w:type="dxa"/>
            <w:tcBorders>
              <w:left w:val="single" w:sz="2" w:space="0" w:color="58595B" w:themeColor="accent4"/>
            </w:tcBorders>
          </w:tcPr>
          <w:p w14:paraId="6B4F9A2E" w14:textId="77777777" w:rsidR="00AE072F" w:rsidRPr="00785222" w:rsidRDefault="00AE072F" w:rsidP="005C55A2">
            <w:pPr>
              <w:pStyle w:val="AEMCTableBodyCopy"/>
              <w:rPr>
                <w:rStyle w:val="Hyperlink"/>
              </w:rPr>
            </w:pPr>
          </w:p>
        </w:tc>
      </w:tr>
      <w:tr w:rsidR="00AE072F" w:rsidRPr="0000465F" w14:paraId="22E4E0FF" w14:textId="77777777" w:rsidTr="00A94EE6">
        <w:trPr>
          <w:trHeight w:val="493"/>
        </w:trPr>
        <w:tc>
          <w:tcPr>
            <w:tcW w:w="5537" w:type="dxa"/>
            <w:tcBorders>
              <w:right w:val="single" w:sz="2" w:space="0" w:color="58595B" w:themeColor="accent4"/>
            </w:tcBorders>
            <w:shd w:val="clear" w:color="auto" w:fill="F6F6F6"/>
          </w:tcPr>
          <w:p w14:paraId="0B6A9B16" w14:textId="47A6AEF8" w:rsidR="00AE072F" w:rsidRDefault="00AE072F" w:rsidP="005C55A2">
            <w:pPr>
              <w:pStyle w:val="AEMCTableBodyCopy"/>
              <w:numPr>
                <w:ilvl w:val="0"/>
                <w:numId w:val="6"/>
              </w:numPr>
            </w:pPr>
            <w:r>
              <w:t>Are there other solutions that would better solve the problem?</w:t>
            </w:r>
          </w:p>
        </w:tc>
        <w:tc>
          <w:tcPr>
            <w:tcW w:w="8922" w:type="dxa"/>
            <w:tcBorders>
              <w:left w:val="single" w:sz="2" w:space="0" w:color="58595B" w:themeColor="accent4"/>
            </w:tcBorders>
          </w:tcPr>
          <w:p w14:paraId="13CC6254" w14:textId="77777777" w:rsidR="00AE072F" w:rsidRPr="00785222" w:rsidRDefault="00AE072F" w:rsidP="005C55A2">
            <w:pPr>
              <w:pStyle w:val="AEMCTableBodyCopy"/>
              <w:rPr>
                <w:rStyle w:val="Hyperlink"/>
              </w:rPr>
            </w:pPr>
          </w:p>
        </w:tc>
      </w:tr>
    </w:tbl>
    <w:p w14:paraId="0C0B2116" w14:textId="77777777" w:rsidR="004D39F0" w:rsidRDefault="004D39F0" w:rsidP="00524174">
      <w:pPr>
        <w:pStyle w:val="AEMCHeaderL4"/>
        <w:rPr>
          <w:rStyle w:val="Hyperlink"/>
          <w:b/>
        </w:rPr>
      </w:pPr>
    </w:p>
    <w:p w14:paraId="1D4F5454" w14:textId="77777777" w:rsidR="004D39F0" w:rsidRDefault="004D39F0">
      <w:pPr>
        <w:spacing w:line="259" w:lineRule="auto"/>
        <w:rPr>
          <w:rStyle w:val="Hyperlink"/>
          <w:rFonts w:cs="Times New Roman (Body CS)"/>
          <w:b/>
          <w:caps/>
          <w:color w:val="00A8E5" w:themeColor="accent1"/>
          <w:sz w:val="22"/>
          <w:szCs w:val="24"/>
        </w:rPr>
      </w:pPr>
      <w:r>
        <w:rPr>
          <w:rStyle w:val="Hyperlink"/>
          <w:b/>
        </w:rPr>
        <w:br w:type="page"/>
      </w:r>
    </w:p>
    <w:p w14:paraId="70789142" w14:textId="5FBB41C4" w:rsidR="00524174" w:rsidRPr="008A4886" w:rsidRDefault="00524174" w:rsidP="00524174">
      <w:pPr>
        <w:pStyle w:val="AEMCHeaderL4"/>
        <w:rPr>
          <w:rStyle w:val="Hyperlink"/>
        </w:rPr>
      </w:pPr>
      <w:r>
        <w:rPr>
          <w:rStyle w:val="Hyperlink"/>
          <w:b/>
        </w:rPr>
        <w:lastRenderedPageBreak/>
        <w:t xml:space="preserve">Question </w:t>
      </w:r>
      <w:r w:rsidR="00E04C5D">
        <w:rPr>
          <w:rStyle w:val="Hyperlink"/>
          <w:b/>
        </w:rPr>
        <w:t>8</w:t>
      </w:r>
      <w:r>
        <w:rPr>
          <w:rStyle w:val="Hyperlink"/>
          <w:b/>
        </w:rPr>
        <w:t xml:space="preserve"> – chapter </w:t>
      </w:r>
      <w:r w:rsidR="006A73C1">
        <w:rPr>
          <w:rStyle w:val="Hyperlink"/>
          <w:b/>
        </w:rPr>
        <w:t>5</w:t>
      </w:r>
      <w:r>
        <w:rPr>
          <w:rStyle w:val="Hyperlink"/>
          <w:b/>
        </w:rPr>
        <w:t xml:space="preserve"> </w:t>
      </w:r>
      <w:r w:rsidRPr="008A4886">
        <w:rPr>
          <w:rStyle w:val="Hyperlink"/>
        </w:rPr>
        <w:t xml:space="preserve">– </w:t>
      </w:r>
      <w:r w:rsidR="006A73C1">
        <w:t>Amend exemptions for metering installations related to energy data storage under 5-minute settlement</w:t>
      </w:r>
    </w:p>
    <w:tbl>
      <w:tblPr>
        <w:tblStyle w:val="TableGrid"/>
        <w:tblW w:w="1445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29"/>
        <w:gridCol w:w="8930"/>
      </w:tblGrid>
      <w:tr w:rsidR="006A73C1" w:rsidRPr="0000465F" w14:paraId="38D9DF61" w14:textId="77777777" w:rsidTr="00A94EE6">
        <w:trPr>
          <w:trHeight w:val="1342"/>
        </w:trPr>
        <w:tc>
          <w:tcPr>
            <w:tcW w:w="5529" w:type="dxa"/>
            <w:tcBorders>
              <w:top w:val="single" w:sz="18" w:space="0" w:color="00A8E5" w:themeColor="accent1"/>
              <w:right w:val="single" w:sz="2" w:space="0" w:color="58595B" w:themeColor="accent4"/>
            </w:tcBorders>
            <w:shd w:val="clear" w:color="auto" w:fill="F6F6F6"/>
          </w:tcPr>
          <w:p w14:paraId="771158F1" w14:textId="4476D83A" w:rsidR="006A73C1" w:rsidRPr="0000465F" w:rsidRDefault="006A73C1" w:rsidP="00993E9A">
            <w:pPr>
              <w:pStyle w:val="AEMCTableBodyCopyNumbers"/>
              <w:numPr>
                <w:ilvl w:val="0"/>
                <w:numId w:val="28"/>
              </w:numPr>
              <w:rPr>
                <w:rStyle w:val="Hyperlink"/>
              </w:rPr>
            </w:pPr>
            <w:r w:rsidRPr="00DB254C">
              <w:t>Has the problem been appropriately identified?</w:t>
            </w:r>
          </w:p>
        </w:tc>
        <w:tc>
          <w:tcPr>
            <w:tcW w:w="8930" w:type="dxa"/>
            <w:tcBorders>
              <w:top w:val="single" w:sz="18" w:space="0" w:color="00A8E5" w:themeColor="accent1"/>
              <w:left w:val="single" w:sz="2" w:space="0" w:color="58595B" w:themeColor="accent4"/>
            </w:tcBorders>
          </w:tcPr>
          <w:p w14:paraId="6F8E1573" w14:textId="77777777" w:rsidR="006A73C1" w:rsidRPr="00785222" w:rsidRDefault="006A73C1" w:rsidP="006A73C1">
            <w:pPr>
              <w:pStyle w:val="AEMCTableBodyCopy"/>
              <w:rPr>
                <w:rStyle w:val="Hyperlink"/>
              </w:rPr>
            </w:pPr>
          </w:p>
        </w:tc>
      </w:tr>
      <w:tr w:rsidR="006A73C1" w:rsidRPr="0000465F" w14:paraId="65C414E1" w14:textId="77777777" w:rsidTr="00A94EE6">
        <w:trPr>
          <w:trHeight w:val="697"/>
        </w:trPr>
        <w:tc>
          <w:tcPr>
            <w:tcW w:w="5529" w:type="dxa"/>
            <w:tcBorders>
              <w:right w:val="single" w:sz="2" w:space="0" w:color="58595B" w:themeColor="accent4"/>
            </w:tcBorders>
            <w:shd w:val="clear" w:color="auto" w:fill="F6F6F6"/>
          </w:tcPr>
          <w:p w14:paraId="195B56CB" w14:textId="4DA21B28" w:rsidR="006A73C1" w:rsidRPr="0000465F" w:rsidRDefault="006A73C1" w:rsidP="006A73C1">
            <w:pPr>
              <w:pStyle w:val="AEMCTableBodyCopyNumbers"/>
              <w:rPr>
                <w:rStyle w:val="Hyperlink"/>
              </w:rPr>
            </w:pPr>
            <w:r w:rsidRPr="00DB254C">
              <w:t>Does the rule change address the problem?</w:t>
            </w:r>
          </w:p>
        </w:tc>
        <w:tc>
          <w:tcPr>
            <w:tcW w:w="8930" w:type="dxa"/>
            <w:tcBorders>
              <w:left w:val="single" w:sz="2" w:space="0" w:color="58595B" w:themeColor="accent4"/>
            </w:tcBorders>
          </w:tcPr>
          <w:p w14:paraId="601D7951" w14:textId="77777777" w:rsidR="006A73C1" w:rsidRPr="00785222" w:rsidRDefault="006A73C1" w:rsidP="006A73C1">
            <w:pPr>
              <w:pStyle w:val="AEMCTableBodyCopy"/>
              <w:rPr>
                <w:rStyle w:val="Hyperlink"/>
              </w:rPr>
            </w:pPr>
          </w:p>
        </w:tc>
      </w:tr>
      <w:tr w:rsidR="006A73C1" w:rsidRPr="0000465F" w14:paraId="49F93059" w14:textId="77777777" w:rsidTr="00A94EE6">
        <w:trPr>
          <w:trHeight w:val="697"/>
        </w:trPr>
        <w:tc>
          <w:tcPr>
            <w:tcW w:w="5529" w:type="dxa"/>
            <w:tcBorders>
              <w:right w:val="single" w:sz="2" w:space="0" w:color="58595B" w:themeColor="accent4"/>
            </w:tcBorders>
            <w:shd w:val="clear" w:color="auto" w:fill="F6F6F6"/>
          </w:tcPr>
          <w:p w14:paraId="280665F3" w14:textId="06B21CBC" w:rsidR="006A73C1" w:rsidRDefault="006A73C1" w:rsidP="006A73C1">
            <w:pPr>
              <w:pStyle w:val="AEMCTableBodyCopyNumbers"/>
            </w:pPr>
            <w:r w:rsidRPr="00DB254C">
              <w:t>What would be the market impact of making the proposed change?</w:t>
            </w:r>
          </w:p>
        </w:tc>
        <w:tc>
          <w:tcPr>
            <w:tcW w:w="8930" w:type="dxa"/>
            <w:tcBorders>
              <w:left w:val="single" w:sz="2" w:space="0" w:color="58595B" w:themeColor="accent4"/>
            </w:tcBorders>
          </w:tcPr>
          <w:p w14:paraId="1881E349" w14:textId="77777777" w:rsidR="006A73C1" w:rsidRPr="00785222" w:rsidRDefault="006A73C1" w:rsidP="006A73C1">
            <w:pPr>
              <w:pStyle w:val="AEMCTableBodyCopy"/>
              <w:rPr>
                <w:rStyle w:val="Hyperlink"/>
              </w:rPr>
            </w:pPr>
          </w:p>
        </w:tc>
      </w:tr>
      <w:tr w:rsidR="00656898" w:rsidRPr="0000465F" w14:paraId="4BF19C4C" w14:textId="77777777" w:rsidTr="00A94EE6">
        <w:trPr>
          <w:trHeight w:val="697"/>
        </w:trPr>
        <w:tc>
          <w:tcPr>
            <w:tcW w:w="5529" w:type="dxa"/>
            <w:tcBorders>
              <w:right w:val="single" w:sz="2" w:space="0" w:color="58595B" w:themeColor="accent4"/>
            </w:tcBorders>
            <w:shd w:val="clear" w:color="auto" w:fill="F6F6F6"/>
          </w:tcPr>
          <w:p w14:paraId="19F8DBF3" w14:textId="3109A32E" w:rsidR="00656898" w:rsidRPr="00FA5FBD" w:rsidRDefault="00656898" w:rsidP="00CF6C90">
            <w:pPr>
              <w:pStyle w:val="AEMCTableBodyCopy"/>
              <w:numPr>
                <w:ilvl w:val="0"/>
                <w:numId w:val="6"/>
              </w:numPr>
            </w:pPr>
            <w:r w:rsidRPr="00EF5EC5">
              <w:t xml:space="preserve">Are there any type 4 meters that were installed between </w:t>
            </w:r>
            <w:r w:rsidRPr="00EF5EC5">
              <w:rPr>
                <w:rStyle w:val="commented"/>
              </w:rPr>
              <w:t xml:space="preserve">1 December 2018 </w:t>
            </w:r>
            <w:r w:rsidRPr="00EF5EC5">
              <w:t>and 1 July 2021 that are currently exempt from the requirements in clause 7.8.2(a)(9)?</w:t>
            </w:r>
          </w:p>
        </w:tc>
        <w:tc>
          <w:tcPr>
            <w:tcW w:w="8930" w:type="dxa"/>
            <w:tcBorders>
              <w:left w:val="single" w:sz="2" w:space="0" w:color="58595B" w:themeColor="accent4"/>
            </w:tcBorders>
          </w:tcPr>
          <w:p w14:paraId="7B1ABDD5" w14:textId="77777777" w:rsidR="00656898" w:rsidRPr="00785222" w:rsidRDefault="00656898" w:rsidP="005C55A2">
            <w:pPr>
              <w:pStyle w:val="AEMCTableBodyCopy"/>
              <w:rPr>
                <w:rStyle w:val="Hyperlink"/>
              </w:rPr>
            </w:pPr>
          </w:p>
        </w:tc>
      </w:tr>
      <w:tr w:rsidR="006A5FA1" w:rsidRPr="0000465F" w14:paraId="5F58F8BC" w14:textId="77777777" w:rsidTr="00A94EE6">
        <w:trPr>
          <w:trHeight w:val="697"/>
        </w:trPr>
        <w:tc>
          <w:tcPr>
            <w:tcW w:w="5529" w:type="dxa"/>
            <w:tcBorders>
              <w:right w:val="single" w:sz="2" w:space="0" w:color="58595B" w:themeColor="accent4"/>
            </w:tcBorders>
            <w:shd w:val="clear" w:color="auto" w:fill="F6F6F6"/>
          </w:tcPr>
          <w:p w14:paraId="7D0C3C83" w14:textId="77777777" w:rsidR="00CF6C90" w:rsidRDefault="00CF6C90" w:rsidP="00CF6C90">
            <w:pPr>
              <w:pStyle w:val="AEMCTableBodyCopy"/>
              <w:numPr>
                <w:ilvl w:val="0"/>
                <w:numId w:val="6"/>
              </w:numPr>
            </w:pPr>
            <w:r w:rsidRPr="00FA5FBD">
              <w:t>Does the proposed change:</w:t>
            </w:r>
          </w:p>
          <w:p w14:paraId="597A6B9E" w14:textId="77777777" w:rsidR="00CF6C90" w:rsidRDefault="00CF6C90" w:rsidP="00CF6C90">
            <w:pPr>
              <w:pStyle w:val="AEMCTableBodyCopy"/>
              <w:numPr>
                <w:ilvl w:val="1"/>
                <w:numId w:val="6"/>
              </w:numPr>
            </w:pPr>
            <w:r w:rsidRPr="00FA5FBD">
              <w:rPr>
                <w:rStyle w:val="proofreader-typo"/>
              </w:rPr>
              <w:t>reduce</w:t>
            </w:r>
            <w:r w:rsidRPr="00FA5FBD">
              <w:t xml:space="preserve"> the cost and complexity of implementing the IESS rule?</w:t>
            </w:r>
          </w:p>
          <w:p w14:paraId="18C6CB53" w14:textId="77777777" w:rsidR="00CF6C90" w:rsidRDefault="00CF6C90" w:rsidP="00CF6C90">
            <w:pPr>
              <w:pStyle w:val="AEMCTableBodyCopy"/>
              <w:numPr>
                <w:ilvl w:val="1"/>
                <w:numId w:val="6"/>
              </w:numPr>
            </w:pPr>
            <w:r w:rsidRPr="00FA5FBD">
              <w:rPr>
                <w:rStyle w:val="proofreader-typo"/>
              </w:rPr>
              <w:t>reduce</w:t>
            </w:r>
            <w:r w:rsidRPr="00FA5FBD">
              <w:t xml:space="preserve"> market uncertainty</w:t>
            </w:r>
            <w:r>
              <w:t>?</w:t>
            </w:r>
          </w:p>
          <w:p w14:paraId="28150EA0" w14:textId="3B21BFC5" w:rsidR="006A5FA1" w:rsidRDefault="00CF6C90" w:rsidP="00CF6C90">
            <w:pPr>
              <w:pStyle w:val="AEMCTableBodyCopy"/>
              <w:numPr>
                <w:ilvl w:val="1"/>
                <w:numId w:val="6"/>
              </w:numPr>
            </w:pPr>
            <w:r w:rsidRPr="00FA5FBD">
              <w:rPr>
                <w:rStyle w:val="proofreader-typo"/>
              </w:rPr>
              <w:t>deviate</w:t>
            </w:r>
            <w:r w:rsidRPr="00FA5FBD">
              <w:t xml:space="preserve"> from the broader direction of reform in the IESS rule, or is it targeted at implementation only?</w:t>
            </w:r>
          </w:p>
        </w:tc>
        <w:tc>
          <w:tcPr>
            <w:tcW w:w="8930" w:type="dxa"/>
            <w:tcBorders>
              <w:left w:val="single" w:sz="2" w:space="0" w:color="58595B" w:themeColor="accent4"/>
            </w:tcBorders>
          </w:tcPr>
          <w:p w14:paraId="4ADEC5D9" w14:textId="77777777" w:rsidR="006A5FA1" w:rsidRPr="00785222" w:rsidRDefault="006A5FA1" w:rsidP="005C55A2">
            <w:pPr>
              <w:pStyle w:val="AEMCTableBodyCopy"/>
              <w:rPr>
                <w:rStyle w:val="Hyperlink"/>
              </w:rPr>
            </w:pPr>
          </w:p>
        </w:tc>
      </w:tr>
      <w:tr w:rsidR="00CF6C90" w:rsidRPr="0000465F" w14:paraId="0C5784EC" w14:textId="77777777" w:rsidTr="00A94EE6">
        <w:trPr>
          <w:trHeight w:val="697"/>
        </w:trPr>
        <w:tc>
          <w:tcPr>
            <w:tcW w:w="5529" w:type="dxa"/>
            <w:tcBorders>
              <w:right w:val="single" w:sz="2" w:space="0" w:color="58595B" w:themeColor="accent4"/>
            </w:tcBorders>
            <w:shd w:val="clear" w:color="auto" w:fill="F6F6F6"/>
          </w:tcPr>
          <w:p w14:paraId="463D0E2E" w14:textId="0645A3E6" w:rsidR="00CF6C90" w:rsidRPr="00FA5FBD" w:rsidRDefault="00CF6C90" w:rsidP="00CF6C90">
            <w:pPr>
              <w:pStyle w:val="AEMCTableBodyCopy"/>
              <w:numPr>
                <w:ilvl w:val="0"/>
                <w:numId w:val="6"/>
              </w:numPr>
            </w:pPr>
            <w:r>
              <w:t>Are there other solutions that would better solve the problem?</w:t>
            </w:r>
          </w:p>
        </w:tc>
        <w:tc>
          <w:tcPr>
            <w:tcW w:w="8930" w:type="dxa"/>
            <w:tcBorders>
              <w:left w:val="single" w:sz="2" w:space="0" w:color="58595B" w:themeColor="accent4"/>
            </w:tcBorders>
          </w:tcPr>
          <w:p w14:paraId="2F55DEF7" w14:textId="77777777" w:rsidR="00CF6C90" w:rsidRPr="00785222" w:rsidRDefault="00CF6C90" w:rsidP="00CF6C90">
            <w:pPr>
              <w:pStyle w:val="AEMCTableBodyCopy"/>
              <w:rPr>
                <w:rStyle w:val="Hyperlink"/>
              </w:rPr>
            </w:pPr>
          </w:p>
        </w:tc>
      </w:tr>
    </w:tbl>
    <w:p w14:paraId="133BA81F" w14:textId="1723FAFE" w:rsidR="00F907E8" w:rsidRPr="00F907E8" w:rsidRDefault="00F907E8" w:rsidP="00F907E8">
      <w:pPr>
        <w:spacing w:line="259" w:lineRule="auto"/>
        <w:rPr>
          <w:rStyle w:val="Hyperlink"/>
          <w:rFonts w:cs="Times New Roman (Body CS)"/>
          <w:b/>
          <w:caps/>
          <w:color w:val="00A8E5" w:themeColor="accent1"/>
          <w:sz w:val="22"/>
          <w:szCs w:val="24"/>
        </w:rPr>
      </w:pPr>
      <w:r>
        <w:rPr>
          <w:rStyle w:val="Hyperlink"/>
          <w:b/>
        </w:rPr>
        <w:br w:type="page"/>
      </w:r>
    </w:p>
    <w:p w14:paraId="30156A95" w14:textId="584FEF5C" w:rsidR="008814B8" w:rsidRPr="008A4886" w:rsidRDefault="00165A73" w:rsidP="008814B8">
      <w:pPr>
        <w:pStyle w:val="AEMCHeaderL4"/>
        <w:rPr>
          <w:rStyle w:val="Hyperlink"/>
        </w:rPr>
      </w:pPr>
      <w:r>
        <w:rPr>
          <w:rStyle w:val="Hyperlink"/>
          <w:b/>
        </w:rPr>
        <w:lastRenderedPageBreak/>
        <w:t xml:space="preserve">Question </w:t>
      </w:r>
      <w:r w:rsidR="00E04C5D">
        <w:rPr>
          <w:rStyle w:val="Hyperlink"/>
          <w:b/>
        </w:rPr>
        <w:t>9</w:t>
      </w:r>
      <w:r>
        <w:rPr>
          <w:rStyle w:val="Hyperlink"/>
          <w:b/>
        </w:rPr>
        <w:t xml:space="preserve"> - </w:t>
      </w:r>
      <w:r w:rsidR="008814B8" w:rsidRPr="008A4886">
        <w:rPr>
          <w:rStyle w:val="Hyperlink"/>
          <w:b/>
        </w:rPr>
        <w:t xml:space="preserve">CHAPTER </w:t>
      </w:r>
      <w:r w:rsidR="00CF6C90">
        <w:rPr>
          <w:rStyle w:val="Hyperlink"/>
          <w:b/>
        </w:rPr>
        <w:t>7</w:t>
      </w:r>
      <w:r w:rsidR="008814B8" w:rsidRPr="008A4886">
        <w:rPr>
          <w:rStyle w:val="Hyperlink"/>
        </w:rPr>
        <w:t xml:space="preserve"> –</w:t>
      </w:r>
      <w:r w:rsidR="008814B8">
        <w:rPr>
          <w:rStyle w:val="Hyperlink"/>
        </w:rPr>
        <w:t xml:space="preserve"> </w:t>
      </w:r>
      <w:r w:rsidR="00993E9A">
        <w:t>Assessment framework</w:t>
      </w:r>
    </w:p>
    <w:tbl>
      <w:tblPr>
        <w:tblStyle w:val="TableGrid"/>
        <w:tblW w:w="1445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8922"/>
      </w:tblGrid>
      <w:tr w:rsidR="00993E9A" w:rsidRPr="0000465F" w14:paraId="0D8124B1" w14:textId="77777777" w:rsidTr="00A94EE6">
        <w:trPr>
          <w:trHeight w:val="25"/>
        </w:trPr>
        <w:tc>
          <w:tcPr>
            <w:tcW w:w="5537" w:type="dxa"/>
            <w:tcBorders>
              <w:top w:val="single" w:sz="18" w:space="0" w:color="00A8E5" w:themeColor="accent1"/>
              <w:right w:val="single" w:sz="2" w:space="0" w:color="58595B" w:themeColor="accent4"/>
            </w:tcBorders>
            <w:shd w:val="clear" w:color="auto" w:fill="F6F6F6"/>
          </w:tcPr>
          <w:p w14:paraId="40A6B404" w14:textId="6F363D5D" w:rsidR="00993E9A" w:rsidRPr="0000465F" w:rsidRDefault="00993E9A" w:rsidP="00993E9A">
            <w:pPr>
              <w:pStyle w:val="AEMCTableBodyCopyNumbers"/>
              <w:numPr>
                <w:ilvl w:val="0"/>
                <w:numId w:val="29"/>
              </w:numPr>
              <w:rPr>
                <w:rStyle w:val="Hyperlink"/>
              </w:rPr>
            </w:pPr>
            <w:r w:rsidRPr="00617F9C">
              <w:t>Is the proposed assessment framework appropriate for considering the proponent’s rule change request?</w:t>
            </w:r>
          </w:p>
        </w:tc>
        <w:tc>
          <w:tcPr>
            <w:tcW w:w="8922" w:type="dxa"/>
            <w:tcBorders>
              <w:top w:val="single" w:sz="18" w:space="0" w:color="00A8E5" w:themeColor="accent1"/>
              <w:left w:val="single" w:sz="2" w:space="0" w:color="58595B" w:themeColor="accent4"/>
            </w:tcBorders>
          </w:tcPr>
          <w:p w14:paraId="5654C7C8" w14:textId="5F609545" w:rsidR="00993E9A" w:rsidRPr="00785222" w:rsidRDefault="00993E9A" w:rsidP="00993E9A">
            <w:pPr>
              <w:pStyle w:val="AEMCTableBodyCopy"/>
              <w:rPr>
                <w:rStyle w:val="Hyperlink"/>
              </w:rPr>
            </w:pPr>
          </w:p>
        </w:tc>
      </w:tr>
      <w:tr w:rsidR="00993E9A" w:rsidRPr="0000465F" w14:paraId="79091A8B" w14:textId="77777777" w:rsidTr="00A94EE6">
        <w:trPr>
          <w:trHeight w:val="1067"/>
        </w:trPr>
        <w:tc>
          <w:tcPr>
            <w:tcW w:w="5537" w:type="dxa"/>
            <w:tcBorders>
              <w:right w:val="single" w:sz="2" w:space="0" w:color="58595B" w:themeColor="accent4"/>
            </w:tcBorders>
            <w:shd w:val="clear" w:color="auto" w:fill="F6F6F6"/>
          </w:tcPr>
          <w:p w14:paraId="2E695665" w14:textId="4EFB42EF" w:rsidR="00993E9A" w:rsidRPr="0000465F" w:rsidRDefault="00993E9A" w:rsidP="00993E9A">
            <w:pPr>
              <w:pStyle w:val="AEMCTableBodyCopyNumbers"/>
              <w:rPr>
                <w:rStyle w:val="Hyperlink"/>
              </w:rPr>
            </w:pPr>
            <w:r w:rsidRPr="00617F9C">
              <w:t>Are there any other relevant considerations that should be included in the assessment framework?</w:t>
            </w:r>
          </w:p>
        </w:tc>
        <w:tc>
          <w:tcPr>
            <w:tcW w:w="8922" w:type="dxa"/>
            <w:tcBorders>
              <w:left w:val="single" w:sz="2" w:space="0" w:color="58595B" w:themeColor="accent4"/>
            </w:tcBorders>
          </w:tcPr>
          <w:p w14:paraId="1A242E18" w14:textId="205B0878" w:rsidR="00993E9A" w:rsidRPr="00785222" w:rsidRDefault="00993E9A" w:rsidP="00993E9A">
            <w:pPr>
              <w:pStyle w:val="AEMCTableBodyCopy"/>
              <w:rPr>
                <w:rStyle w:val="Hyperlink"/>
              </w:rPr>
            </w:pPr>
          </w:p>
        </w:tc>
      </w:tr>
    </w:tbl>
    <w:p w14:paraId="5FAF58C9" w14:textId="77777777" w:rsidR="00C114E7" w:rsidRPr="0015555C" w:rsidRDefault="00C114E7" w:rsidP="0015555C">
      <w:pPr>
        <w:pStyle w:val="AEMCBodyCopy"/>
      </w:pPr>
    </w:p>
    <w:sectPr w:rsidR="00C114E7" w:rsidRPr="0015555C" w:rsidSect="00AC3CEB">
      <w:headerReference w:type="default" r:id="rId12"/>
      <w:footerReference w:type="even" r:id="rId13"/>
      <w:footerReference w:type="default" r:id="rId14"/>
      <w:headerReference w:type="first" r:id="rId15"/>
      <w:footerReference w:type="first" r:id="rId16"/>
      <w:pgSz w:w="16840" w:h="11901" w:orient="landscape"/>
      <w:pgMar w:top="1440" w:right="1440" w:bottom="1440" w:left="1440"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89B5" w14:textId="77777777" w:rsidR="008C58CA" w:rsidRDefault="008C58CA" w:rsidP="00E768E2">
      <w:r>
        <w:separator/>
      </w:r>
    </w:p>
    <w:p w14:paraId="40C6ABC9" w14:textId="77777777" w:rsidR="008C58CA" w:rsidRDefault="008C58CA" w:rsidP="00E768E2"/>
    <w:p w14:paraId="20B91F5B" w14:textId="77777777" w:rsidR="008C58CA" w:rsidRDefault="008C58CA" w:rsidP="00E768E2"/>
    <w:p w14:paraId="78F497A8" w14:textId="77777777" w:rsidR="008C58CA" w:rsidRDefault="008C58CA" w:rsidP="00E768E2"/>
    <w:p w14:paraId="5A6B11AC" w14:textId="77777777" w:rsidR="008C58CA" w:rsidRDefault="008C58CA"/>
    <w:p w14:paraId="5891E73F" w14:textId="77777777" w:rsidR="008C58CA" w:rsidRDefault="008C58CA"/>
  </w:endnote>
  <w:endnote w:type="continuationSeparator" w:id="0">
    <w:p w14:paraId="5FFD2836" w14:textId="77777777" w:rsidR="008C58CA" w:rsidRDefault="008C58CA" w:rsidP="00E768E2">
      <w:r>
        <w:continuationSeparator/>
      </w:r>
    </w:p>
    <w:p w14:paraId="0DFC7C75" w14:textId="77777777" w:rsidR="008C58CA" w:rsidRDefault="008C58CA" w:rsidP="00E768E2"/>
    <w:p w14:paraId="2A3F4A01" w14:textId="77777777" w:rsidR="008C58CA" w:rsidRDefault="008C58CA" w:rsidP="00E768E2"/>
    <w:p w14:paraId="5906D65D" w14:textId="77777777" w:rsidR="008C58CA" w:rsidRDefault="008C58CA" w:rsidP="00E768E2"/>
    <w:p w14:paraId="765A8AFE" w14:textId="77777777" w:rsidR="008C58CA" w:rsidRDefault="008C58CA"/>
    <w:p w14:paraId="0A9330FB" w14:textId="77777777" w:rsidR="008C58CA" w:rsidRDefault="008C58CA"/>
  </w:endnote>
  <w:endnote w:type="continuationNotice" w:id="1">
    <w:p w14:paraId="3D33DAB9" w14:textId="77777777" w:rsidR="00AE2CC6" w:rsidRDefault="00AE2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1E4A" w14:textId="6D882EA4" w:rsidR="00672434" w:rsidRDefault="00672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464B"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75C0"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D101" w14:textId="77777777" w:rsidR="008C58CA" w:rsidRDefault="008C58CA">
      <w:r>
        <w:separator/>
      </w:r>
    </w:p>
  </w:footnote>
  <w:footnote w:type="continuationSeparator" w:id="0">
    <w:p w14:paraId="5925AA2E" w14:textId="77777777" w:rsidR="008C58CA" w:rsidRDefault="008C58CA" w:rsidP="00E768E2">
      <w:r>
        <w:continuationSeparator/>
      </w:r>
    </w:p>
    <w:p w14:paraId="14FE9515" w14:textId="77777777" w:rsidR="008C58CA" w:rsidRDefault="008C58CA" w:rsidP="00E768E2"/>
    <w:p w14:paraId="05AA0F77" w14:textId="77777777" w:rsidR="008C58CA" w:rsidRDefault="008C58CA" w:rsidP="00E768E2"/>
    <w:p w14:paraId="681FEA9F" w14:textId="77777777" w:rsidR="008C58CA" w:rsidRDefault="008C58CA" w:rsidP="00E768E2"/>
    <w:p w14:paraId="2B78BDEA" w14:textId="77777777" w:rsidR="008C58CA" w:rsidRDefault="008C58CA"/>
    <w:p w14:paraId="521A7FEA" w14:textId="77777777" w:rsidR="008C58CA" w:rsidRDefault="008C58CA"/>
  </w:footnote>
  <w:footnote w:type="continuationNotice" w:id="1">
    <w:p w14:paraId="6296D056" w14:textId="77777777" w:rsidR="00AE2CC6" w:rsidRDefault="00AE2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292" w:type="dxa"/>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D260FB" w14:paraId="00EEF430" w14:textId="77777777" w:rsidTr="008068B6">
      <w:trPr>
        <w:trHeight w:val="680"/>
      </w:trPr>
      <w:tc>
        <w:tcPr>
          <w:tcW w:w="8147" w:type="dxa"/>
        </w:tcPr>
        <w:p w14:paraId="6922B72B" w14:textId="77777777" w:rsidR="00D260FB" w:rsidRPr="00D260FB" w:rsidRDefault="005E638A" w:rsidP="00D260FB">
          <w:pPr>
            <w:pStyle w:val="Header"/>
            <w:ind w:left="85"/>
            <w:rPr>
              <w:b/>
              <w:lang w:val="en-AU"/>
            </w:rPr>
          </w:pPr>
          <w:r>
            <w:rPr>
              <w:b/>
              <w:lang w:val="en-AU"/>
            </w:rPr>
            <w:t>Stakeholder feedback</w:t>
          </w:r>
        </w:p>
        <w:p w14:paraId="05FE1EC4" w14:textId="62ADE2DA" w:rsidR="00D260FB" w:rsidRDefault="00D260FB" w:rsidP="00D260FB">
          <w:pPr>
            <w:pStyle w:val="Header"/>
            <w:ind w:left="85"/>
            <w:rPr>
              <w:lang w:val="en-AU"/>
            </w:rPr>
          </w:pPr>
        </w:p>
      </w:tc>
    </w:tr>
  </w:tbl>
  <w:p w14:paraId="6A1A84A4"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4A59F112" wp14:editId="77821687">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2D30C15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4276CCDA"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F112"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2D30C15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4276CCDA"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016E" w14:textId="1C722A17" w:rsidR="00672434" w:rsidRDefault="00672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B143DF"/>
    <w:multiLevelType w:val="hybridMultilevel"/>
    <w:tmpl w:val="00C27994"/>
    <w:lvl w:ilvl="0" w:tplc="14D464C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E33354A"/>
    <w:multiLevelType w:val="hybridMultilevel"/>
    <w:tmpl w:val="CD4A1982"/>
    <w:lvl w:ilvl="0" w:tplc="AF4EDEA4">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1DE6173"/>
    <w:multiLevelType w:val="hybridMultilevel"/>
    <w:tmpl w:val="CD0E3726"/>
    <w:lvl w:ilvl="0" w:tplc="AF3AB02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3DC3AA2"/>
    <w:multiLevelType w:val="hybridMultilevel"/>
    <w:tmpl w:val="3E5A4DC6"/>
    <w:lvl w:ilvl="0" w:tplc="2D56C26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7777EC4"/>
    <w:multiLevelType w:val="hybridMultilevel"/>
    <w:tmpl w:val="97E22CC2"/>
    <w:lvl w:ilvl="0" w:tplc="315CF6D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D761AF6"/>
    <w:multiLevelType w:val="hybridMultilevel"/>
    <w:tmpl w:val="4BF67A12"/>
    <w:lvl w:ilvl="0" w:tplc="AD4856D2">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4419F8"/>
    <w:multiLevelType w:val="hybridMultilevel"/>
    <w:tmpl w:val="6E948CFC"/>
    <w:lvl w:ilvl="0" w:tplc="47085FA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173AF4"/>
    <w:multiLevelType w:val="hybridMultilevel"/>
    <w:tmpl w:val="F9C48F42"/>
    <w:lvl w:ilvl="0" w:tplc="E82C7CC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C84B5B"/>
    <w:multiLevelType w:val="hybridMultilevel"/>
    <w:tmpl w:val="4F7EF90E"/>
    <w:lvl w:ilvl="0" w:tplc="16B8058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68E766E"/>
    <w:multiLevelType w:val="hybridMultilevel"/>
    <w:tmpl w:val="B694C582"/>
    <w:lvl w:ilvl="0" w:tplc="B8E002D8">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9F7DEF"/>
    <w:multiLevelType w:val="hybridMultilevel"/>
    <w:tmpl w:val="8F727206"/>
    <w:lvl w:ilvl="0" w:tplc="3594E54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9882939">
    <w:abstractNumId w:val="13"/>
  </w:num>
  <w:num w:numId="2" w16cid:durableId="142553317">
    <w:abstractNumId w:val="5"/>
  </w:num>
  <w:num w:numId="3" w16cid:durableId="1030256734">
    <w:abstractNumId w:val="3"/>
  </w:num>
  <w:num w:numId="4" w16cid:durableId="264727646">
    <w:abstractNumId w:val="4"/>
  </w:num>
  <w:num w:numId="5" w16cid:durableId="1765223788">
    <w:abstractNumId w:val="15"/>
  </w:num>
  <w:num w:numId="6" w16cid:durableId="1584602187">
    <w:abstractNumId w:val="16"/>
  </w:num>
  <w:num w:numId="7" w16cid:durableId="666246273">
    <w:abstractNumId w:val="10"/>
  </w:num>
  <w:num w:numId="8" w16cid:durableId="502939949">
    <w:abstractNumId w:val="10"/>
    <w:lvlOverride w:ilvl="0">
      <w:startOverride w:val="1"/>
    </w:lvlOverride>
  </w:num>
  <w:num w:numId="9" w16cid:durableId="1993875302">
    <w:abstractNumId w:val="17"/>
  </w:num>
  <w:num w:numId="10" w16cid:durableId="163936558">
    <w:abstractNumId w:val="0"/>
  </w:num>
  <w:num w:numId="11" w16cid:durableId="2111309965">
    <w:abstractNumId w:val="19"/>
  </w:num>
  <w:num w:numId="12" w16cid:durableId="387652112">
    <w:abstractNumId w:val="6"/>
  </w:num>
  <w:num w:numId="13" w16cid:durableId="1390031465">
    <w:abstractNumId w:val="8"/>
  </w:num>
  <w:num w:numId="14" w16cid:durableId="1308166329">
    <w:abstractNumId w:val="7"/>
  </w:num>
  <w:num w:numId="15" w16cid:durableId="1616984277">
    <w:abstractNumId w:val="2"/>
  </w:num>
  <w:num w:numId="16" w16cid:durableId="704601983">
    <w:abstractNumId w:val="11"/>
  </w:num>
  <w:num w:numId="17" w16cid:durableId="2034378050">
    <w:abstractNumId w:val="9"/>
  </w:num>
  <w:num w:numId="18" w16cid:durableId="845364568">
    <w:abstractNumId w:val="14"/>
  </w:num>
  <w:num w:numId="19" w16cid:durableId="1335303724">
    <w:abstractNumId w:val="12"/>
  </w:num>
  <w:num w:numId="20" w16cid:durableId="1039427838">
    <w:abstractNumId w:val="1"/>
  </w:num>
  <w:num w:numId="21" w16cid:durableId="768237808">
    <w:abstractNumId w:val="18"/>
  </w:num>
  <w:num w:numId="22" w16cid:durableId="1800760258">
    <w:abstractNumId w:val="16"/>
    <w:lvlOverride w:ilvl="0">
      <w:startOverride w:val="1"/>
    </w:lvlOverride>
  </w:num>
  <w:num w:numId="23" w16cid:durableId="1267735026">
    <w:abstractNumId w:val="16"/>
    <w:lvlOverride w:ilvl="0">
      <w:startOverride w:val="1"/>
    </w:lvlOverride>
  </w:num>
  <w:num w:numId="24" w16cid:durableId="1472481942">
    <w:abstractNumId w:val="16"/>
    <w:lvlOverride w:ilvl="0">
      <w:startOverride w:val="1"/>
    </w:lvlOverride>
  </w:num>
  <w:num w:numId="25" w16cid:durableId="1273131155">
    <w:abstractNumId w:val="16"/>
    <w:lvlOverride w:ilvl="0">
      <w:startOverride w:val="1"/>
    </w:lvlOverride>
  </w:num>
  <w:num w:numId="26" w16cid:durableId="1243762453">
    <w:abstractNumId w:val="16"/>
    <w:lvlOverride w:ilvl="0">
      <w:startOverride w:val="1"/>
    </w:lvlOverride>
  </w:num>
  <w:num w:numId="27" w16cid:durableId="2146852410">
    <w:abstractNumId w:val="16"/>
    <w:lvlOverride w:ilvl="0">
      <w:startOverride w:val="1"/>
    </w:lvlOverride>
  </w:num>
  <w:num w:numId="28" w16cid:durableId="2058044057">
    <w:abstractNumId w:val="16"/>
    <w:lvlOverride w:ilvl="0">
      <w:startOverride w:val="1"/>
    </w:lvlOverride>
  </w:num>
  <w:num w:numId="29" w16cid:durableId="1869180348">
    <w:abstractNumId w:val="16"/>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CA"/>
    <w:rsid w:val="000002DA"/>
    <w:rsid w:val="00000E51"/>
    <w:rsid w:val="00001129"/>
    <w:rsid w:val="0000145B"/>
    <w:rsid w:val="00001992"/>
    <w:rsid w:val="00001A36"/>
    <w:rsid w:val="00001B61"/>
    <w:rsid w:val="00001F15"/>
    <w:rsid w:val="00003A0D"/>
    <w:rsid w:val="0000465F"/>
    <w:rsid w:val="00004A8D"/>
    <w:rsid w:val="000050D9"/>
    <w:rsid w:val="00006C10"/>
    <w:rsid w:val="000071D2"/>
    <w:rsid w:val="00010450"/>
    <w:rsid w:val="0001221F"/>
    <w:rsid w:val="000128C9"/>
    <w:rsid w:val="00012CBF"/>
    <w:rsid w:val="00013085"/>
    <w:rsid w:val="00014188"/>
    <w:rsid w:val="000142D8"/>
    <w:rsid w:val="0001526E"/>
    <w:rsid w:val="00015745"/>
    <w:rsid w:val="00015E44"/>
    <w:rsid w:val="0001690F"/>
    <w:rsid w:val="00017331"/>
    <w:rsid w:val="00017B97"/>
    <w:rsid w:val="00020ECC"/>
    <w:rsid w:val="000222F9"/>
    <w:rsid w:val="000227F9"/>
    <w:rsid w:val="00022F44"/>
    <w:rsid w:val="000233FB"/>
    <w:rsid w:val="00024BBD"/>
    <w:rsid w:val="00026054"/>
    <w:rsid w:val="0002771D"/>
    <w:rsid w:val="000279B0"/>
    <w:rsid w:val="000309D3"/>
    <w:rsid w:val="00030FAD"/>
    <w:rsid w:val="000310AE"/>
    <w:rsid w:val="00032B9F"/>
    <w:rsid w:val="0003346D"/>
    <w:rsid w:val="000343AF"/>
    <w:rsid w:val="00034DC3"/>
    <w:rsid w:val="00034F88"/>
    <w:rsid w:val="000357AD"/>
    <w:rsid w:val="000362D3"/>
    <w:rsid w:val="00036809"/>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3A8A"/>
    <w:rsid w:val="00054368"/>
    <w:rsid w:val="00055071"/>
    <w:rsid w:val="00055DFE"/>
    <w:rsid w:val="000565C9"/>
    <w:rsid w:val="00056E2E"/>
    <w:rsid w:val="00057EA6"/>
    <w:rsid w:val="000602D5"/>
    <w:rsid w:val="00060A42"/>
    <w:rsid w:val="000619A6"/>
    <w:rsid w:val="00061AE9"/>
    <w:rsid w:val="00061CD0"/>
    <w:rsid w:val="00061DC3"/>
    <w:rsid w:val="000628F0"/>
    <w:rsid w:val="000634FF"/>
    <w:rsid w:val="00063B97"/>
    <w:rsid w:val="000642F6"/>
    <w:rsid w:val="00064F4F"/>
    <w:rsid w:val="00064F94"/>
    <w:rsid w:val="0006550F"/>
    <w:rsid w:val="000656F7"/>
    <w:rsid w:val="00066355"/>
    <w:rsid w:val="000663CD"/>
    <w:rsid w:val="000701DD"/>
    <w:rsid w:val="00070BBA"/>
    <w:rsid w:val="00070C59"/>
    <w:rsid w:val="00071286"/>
    <w:rsid w:val="0007340D"/>
    <w:rsid w:val="0007465F"/>
    <w:rsid w:val="000749C5"/>
    <w:rsid w:val="000756A0"/>
    <w:rsid w:val="0007675E"/>
    <w:rsid w:val="00076818"/>
    <w:rsid w:val="00080497"/>
    <w:rsid w:val="000816E0"/>
    <w:rsid w:val="00081AE5"/>
    <w:rsid w:val="0008201A"/>
    <w:rsid w:val="000839CB"/>
    <w:rsid w:val="00084BE1"/>
    <w:rsid w:val="000867D3"/>
    <w:rsid w:val="000877F7"/>
    <w:rsid w:val="00087F77"/>
    <w:rsid w:val="0009020F"/>
    <w:rsid w:val="00091411"/>
    <w:rsid w:val="000918F8"/>
    <w:rsid w:val="00091D7A"/>
    <w:rsid w:val="00092D3A"/>
    <w:rsid w:val="00094B2E"/>
    <w:rsid w:val="00095114"/>
    <w:rsid w:val="00095231"/>
    <w:rsid w:val="0009593C"/>
    <w:rsid w:val="00096017"/>
    <w:rsid w:val="0009733D"/>
    <w:rsid w:val="00097BA5"/>
    <w:rsid w:val="000A0478"/>
    <w:rsid w:val="000A12C3"/>
    <w:rsid w:val="000A18DC"/>
    <w:rsid w:val="000A1C7B"/>
    <w:rsid w:val="000A1D0D"/>
    <w:rsid w:val="000A54FA"/>
    <w:rsid w:val="000A5F06"/>
    <w:rsid w:val="000A6312"/>
    <w:rsid w:val="000A6660"/>
    <w:rsid w:val="000A69C9"/>
    <w:rsid w:val="000A6BFB"/>
    <w:rsid w:val="000A7CF8"/>
    <w:rsid w:val="000B0950"/>
    <w:rsid w:val="000B0E51"/>
    <w:rsid w:val="000B23C5"/>
    <w:rsid w:val="000B34BB"/>
    <w:rsid w:val="000B457D"/>
    <w:rsid w:val="000B4EE7"/>
    <w:rsid w:val="000B5659"/>
    <w:rsid w:val="000B578D"/>
    <w:rsid w:val="000B5796"/>
    <w:rsid w:val="000B5968"/>
    <w:rsid w:val="000B601B"/>
    <w:rsid w:val="000B63CE"/>
    <w:rsid w:val="000B69FC"/>
    <w:rsid w:val="000B7404"/>
    <w:rsid w:val="000C03E1"/>
    <w:rsid w:val="000C1621"/>
    <w:rsid w:val="000C1649"/>
    <w:rsid w:val="000C1E67"/>
    <w:rsid w:val="000C2D0F"/>
    <w:rsid w:val="000C3D70"/>
    <w:rsid w:val="000C42A5"/>
    <w:rsid w:val="000C5C9F"/>
    <w:rsid w:val="000C7210"/>
    <w:rsid w:val="000C745C"/>
    <w:rsid w:val="000C79C1"/>
    <w:rsid w:val="000D019B"/>
    <w:rsid w:val="000D1071"/>
    <w:rsid w:val="000D1E13"/>
    <w:rsid w:val="000D26DA"/>
    <w:rsid w:val="000D3C2C"/>
    <w:rsid w:val="000D3F8C"/>
    <w:rsid w:val="000D4110"/>
    <w:rsid w:val="000D41D1"/>
    <w:rsid w:val="000D46A6"/>
    <w:rsid w:val="000D58F6"/>
    <w:rsid w:val="000D70D6"/>
    <w:rsid w:val="000D724C"/>
    <w:rsid w:val="000D760A"/>
    <w:rsid w:val="000D7647"/>
    <w:rsid w:val="000D7E29"/>
    <w:rsid w:val="000E0A3A"/>
    <w:rsid w:val="000E1B52"/>
    <w:rsid w:val="000E202B"/>
    <w:rsid w:val="000E2D49"/>
    <w:rsid w:val="000E32B8"/>
    <w:rsid w:val="000E3F3B"/>
    <w:rsid w:val="000E40AE"/>
    <w:rsid w:val="000E4A9E"/>
    <w:rsid w:val="000E4AF3"/>
    <w:rsid w:val="000E592C"/>
    <w:rsid w:val="000E6828"/>
    <w:rsid w:val="000E6A71"/>
    <w:rsid w:val="000E73FD"/>
    <w:rsid w:val="000F1E1F"/>
    <w:rsid w:val="000F297E"/>
    <w:rsid w:val="000F4D46"/>
    <w:rsid w:val="000F50D7"/>
    <w:rsid w:val="000F5F27"/>
    <w:rsid w:val="00100958"/>
    <w:rsid w:val="001017CC"/>
    <w:rsid w:val="0010241A"/>
    <w:rsid w:val="00103D42"/>
    <w:rsid w:val="001040D9"/>
    <w:rsid w:val="001040DB"/>
    <w:rsid w:val="0010474E"/>
    <w:rsid w:val="00104B55"/>
    <w:rsid w:val="001054A9"/>
    <w:rsid w:val="00105E6A"/>
    <w:rsid w:val="00105E74"/>
    <w:rsid w:val="00106117"/>
    <w:rsid w:val="00106A6A"/>
    <w:rsid w:val="001102E3"/>
    <w:rsid w:val="0011031A"/>
    <w:rsid w:val="001109E5"/>
    <w:rsid w:val="001113CD"/>
    <w:rsid w:val="0011142F"/>
    <w:rsid w:val="00111E1D"/>
    <w:rsid w:val="00112EBC"/>
    <w:rsid w:val="00113FFD"/>
    <w:rsid w:val="00115A53"/>
    <w:rsid w:val="00115ECF"/>
    <w:rsid w:val="001169DC"/>
    <w:rsid w:val="0012009F"/>
    <w:rsid w:val="0012021A"/>
    <w:rsid w:val="001207ED"/>
    <w:rsid w:val="00120C6A"/>
    <w:rsid w:val="00122AB9"/>
    <w:rsid w:val="001239CC"/>
    <w:rsid w:val="0012499B"/>
    <w:rsid w:val="00125D9B"/>
    <w:rsid w:val="001267DD"/>
    <w:rsid w:val="00127C9B"/>
    <w:rsid w:val="001302B7"/>
    <w:rsid w:val="00131BC3"/>
    <w:rsid w:val="00132596"/>
    <w:rsid w:val="00132C57"/>
    <w:rsid w:val="00135A43"/>
    <w:rsid w:val="00135E9D"/>
    <w:rsid w:val="00136E3D"/>
    <w:rsid w:val="00137002"/>
    <w:rsid w:val="0013716E"/>
    <w:rsid w:val="00140A43"/>
    <w:rsid w:val="00141AF9"/>
    <w:rsid w:val="001425D2"/>
    <w:rsid w:val="001428AD"/>
    <w:rsid w:val="00142959"/>
    <w:rsid w:val="00142F55"/>
    <w:rsid w:val="00143727"/>
    <w:rsid w:val="0014387F"/>
    <w:rsid w:val="00144889"/>
    <w:rsid w:val="0014527F"/>
    <w:rsid w:val="00145705"/>
    <w:rsid w:val="00145A59"/>
    <w:rsid w:val="00145A7C"/>
    <w:rsid w:val="00147C7F"/>
    <w:rsid w:val="00147F1A"/>
    <w:rsid w:val="001508EE"/>
    <w:rsid w:val="00150CE9"/>
    <w:rsid w:val="00150F93"/>
    <w:rsid w:val="00152186"/>
    <w:rsid w:val="0015281A"/>
    <w:rsid w:val="00152D58"/>
    <w:rsid w:val="00153F54"/>
    <w:rsid w:val="00154925"/>
    <w:rsid w:val="001549DD"/>
    <w:rsid w:val="0015518A"/>
    <w:rsid w:val="0015555C"/>
    <w:rsid w:val="001567FB"/>
    <w:rsid w:val="00156ED7"/>
    <w:rsid w:val="00157A3C"/>
    <w:rsid w:val="00160471"/>
    <w:rsid w:val="00160C34"/>
    <w:rsid w:val="0016293F"/>
    <w:rsid w:val="00162B3E"/>
    <w:rsid w:val="00162D7C"/>
    <w:rsid w:val="0016494D"/>
    <w:rsid w:val="00164A27"/>
    <w:rsid w:val="00165A73"/>
    <w:rsid w:val="00165DBC"/>
    <w:rsid w:val="0016641B"/>
    <w:rsid w:val="0016670D"/>
    <w:rsid w:val="001675B3"/>
    <w:rsid w:val="00167D08"/>
    <w:rsid w:val="00170589"/>
    <w:rsid w:val="0017240A"/>
    <w:rsid w:val="0017318B"/>
    <w:rsid w:val="00173929"/>
    <w:rsid w:val="00173A09"/>
    <w:rsid w:val="00174D6D"/>
    <w:rsid w:val="00174D7A"/>
    <w:rsid w:val="00175F5C"/>
    <w:rsid w:val="00177943"/>
    <w:rsid w:val="001803E7"/>
    <w:rsid w:val="00180789"/>
    <w:rsid w:val="0018102E"/>
    <w:rsid w:val="0018151B"/>
    <w:rsid w:val="00181587"/>
    <w:rsid w:val="001817BF"/>
    <w:rsid w:val="00183047"/>
    <w:rsid w:val="00184193"/>
    <w:rsid w:val="001841A9"/>
    <w:rsid w:val="001849EE"/>
    <w:rsid w:val="001864FC"/>
    <w:rsid w:val="0018654F"/>
    <w:rsid w:val="001870E5"/>
    <w:rsid w:val="00187118"/>
    <w:rsid w:val="001874B0"/>
    <w:rsid w:val="001874E6"/>
    <w:rsid w:val="001905F7"/>
    <w:rsid w:val="00190FC9"/>
    <w:rsid w:val="00191B01"/>
    <w:rsid w:val="001922B5"/>
    <w:rsid w:val="00192B54"/>
    <w:rsid w:val="00192BBB"/>
    <w:rsid w:val="00192EA9"/>
    <w:rsid w:val="001936CA"/>
    <w:rsid w:val="0019391E"/>
    <w:rsid w:val="00194343"/>
    <w:rsid w:val="0019455B"/>
    <w:rsid w:val="00195DCC"/>
    <w:rsid w:val="00196034"/>
    <w:rsid w:val="00196462"/>
    <w:rsid w:val="0019699E"/>
    <w:rsid w:val="001979E7"/>
    <w:rsid w:val="001A0122"/>
    <w:rsid w:val="001A12D7"/>
    <w:rsid w:val="001A155B"/>
    <w:rsid w:val="001A1663"/>
    <w:rsid w:val="001A2D9D"/>
    <w:rsid w:val="001A3E8B"/>
    <w:rsid w:val="001A487B"/>
    <w:rsid w:val="001A4AE1"/>
    <w:rsid w:val="001A4CC0"/>
    <w:rsid w:val="001B0985"/>
    <w:rsid w:val="001B0B03"/>
    <w:rsid w:val="001B0D5C"/>
    <w:rsid w:val="001B1250"/>
    <w:rsid w:val="001B19FC"/>
    <w:rsid w:val="001B1F3C"/>
    <w:rsid w:val="001B2035"/>
    <w:rsid w:val="001B3619"/>
    <w:rsid w:val="001B36EC"/>
    <w:rsid w:val="001B394C"/>
    <w:rsid w:val="001B39C2"/>
    <w:rsid w:val="001B4779"/>
    <w:rsid w:val="001B4793"/>
    <w:rsid w:val="001B4B6D"/>
    <w:rsid w:val="001B5447"/>
    <w:rsid w:val="001B60C8"/>
    <w:rsid w:val="001B7F01"/>
    <w:rsid w:val="001B7F35"/>
    <w:rsid w:val="001C0415"/>
    <w:rsid w:val="001C1015"/>
    <w:rsid w:val="001C16E7"/>
    <w:rsid w:val="001C193A"/>
    <w:rsid w:val="001C2765"/>
    <w:rsid w:val="001C283D"/>
    <w:rsid w:val="001C2953"/>
    <w:rsid w:val="001C2E09"/>
    <w:rsid w:val="001C2FC1"/>
    <w:rsid w:val="001C33B1"/>
    <w:rsid w:val="001C3801"/>
    <w:rsid w:val="001C3ADD"/>
    <w:rsid w:val="001C4BFD"/>
    <w:rsid w:val="001C54C7"/>
    <w:rsid w:val="001C551E"/>
    <w:rsid w:val="001C56DD"/>
    <w:rsid w:val="001C63AD"/>
    <w:rsid w:val="001C63C5"/>
    <w:rsid w:val="001C64E4"/>
    <w:rsid w:val="001C76B1"/>
    <w:rsid w:val="001D0169"/>
    <w:rsid w:val="001D04BF"/>
    <w:rsid w:val="001D0D44"/>
    <w:rsid w:val="001D1B40"/>
    <w:rsid w:val="001D1EE8"/>
    <w:rsid w:val="001D5750"/>
    <w:rsid w:val="001D5A24"/>
    <w:rsid w:val="001D5B4D"/>
    <w:rsid w:val="001D638A"/>
    <w:rsid w:val="001D7085"/>
    <w:rsid w:val="001D735F"/>
    <w:rsid w:val="001E03E2"/>
    <w:rsid w:val="001E03F9"/>
    <w:rsid w:val="001E0830"/>
    <w:rsid w:val="001E2911"/>
    <w:rsid w:val="001E2B79"/>
    <w:rsid w:val="001E31D8"/>
    <w:rsid w:val="001E40AC"/>
    <w:rsid w:val="001E58E7"/>
    <w:rsid w:val="001E74E8"/>
    <w:rsid w:val="001E7C2B"/>
    <w:rsid w:val="001F2259"/>
    <w:rsid w:val="001F2788"/>
    <w:rsid w:val="001F27A5"/>
    <w:rsid w:val="001F27DC"/>
    <w:rsid w:val="001F2E64"/>
    <w:rsid w:val="001F3177"/>
    <w:rsid w:val="001F327A"/>
    <w:rsid w:val="001F3292"/>
    <w:rsid w:val="001F3512"/>
    <w:rsid w:val="001F4CAC"/>
    <w:rsid w:val="001F52DA"/>
    <w:rsid w:val="001F74DF"/>
    <w:rsid w:val="001F7744"/>
    <w:rsid w:val="002001B6"/>
    <w:rsid w:val="0020337E"/>
    <w:rsid w:val="00203BD6"/>
    <w:rsid w:val="00204615"/>
    <w:rsid w:val="00205090"/>
    <w:rsid w:val="0020595E"/>
    <w:rsid w:val="00205F78"/>
    <w:rsid w:val="00206044"/>
    <w:rsid w:val="00206953"/>
    <w:rsid w:val="00207B81"/>
    <w:rsid w:val="002106A8"/>
    <w:rsid w:val="00210770"/>
    <w:rsid w:val="002116F1"/>
    <w:rsid w:val="002120AE"/>
    <w:rsid w:val="00212828"/>
    <w:rsid w:val="00212B66"/>
    <w:rsid w:val="00212BA2"/>
    <w:rsid w:val="002132B1"/>
    <w:rsid w:val="00215A5C"/>
    <w:rsid w:val="0021677E"/>
    <w:rsid w:val="0021785F"/>
    <w:rsid w:val="0021791C"/>
    <w:rsid w:val="00217D77"/>
    <w:rsid w:val="002215F7"/>
    <w:rsid w:val="0022180E"/>
    <w:rsid w:val="0022285F"/>
    <w:rsid w:val="00223238"/>
    <w:rsid w:val="00223761"/>
    <w:rsid w:val="00225283"/>
    <w:rsid w:val="0022653B"/>
    <w:rsid w:val="0022681A"/>
    <w:rsid w:val="0022692C"/>
    <w:rsid w:val="00230CA5"/>
    <w:rsid w:val="002326A0"/>
    <w:rsid w:val="00232AE0"/>
    <w:rsid w:val="00232B5D"/>
    <w:rsid w:val="00233DDF"/>
    <w:rsid w:val="002348E4"/>
    <w:rsid w:val="00234F56"/>
    <w:rsid w:val="002352FA"/>
    <w:rsid w:val="002354B5"/>
    <w:rsid w:val="00236560"/>
    <w:rsid w:val="00236997"/>
    <w:rsid w:val="00237629"/>
    <w:rsid w:val="0023773B"/>
    <w:rsid w:val="00237764"/>
    <w:rsid w:val="002377CF"/>
    <w:rsid w:val="00237DAA"/>
    <w:rsid w:val="0024010C"/>
    <w:rsid w:val="002401DA"/>
    <w:rsid w:val="00240BDD"/>
    <w:rsid w:val="00241DE7"/>
    <w:rsid w:val="00242234"/>
    <w:rsid w:val="00242B03"/>
    <w:rsid w:val="00243577"/>
    <w:rsid w:val="002437B9"/>
    <w:rsid w:val="0024382D"/>
    <w:rsid w:val="00244CF7"/>
    <w:rsid w:val="0024599A"/>
    <w:rsid w:val="00245C36"/>
    <w:rsid w:val="00246194"/>
    <w:rsid w:val="00246F19"/>
    <w:rsid w:val="00247780"/>
    <w:rsid w:val="00247987"/>
    <w:rsid w:val="00250C15"/>
    <w:rsid w:val="00250D87"/>
    <w:rsid w:val="002518CF"/>
    <w:rsid w:val="002536C1"/>
    <w:rsid w:val="002556CD"/>
    <w:rsid w:val="0025775E"/>
    <w:rsid w:val="00257B2B"/>
    <w:rsid w:val="00257ED5"/>
    <w:rsid w:val="0026003A"/>
    <w:rsid w:val="002610BE"/>
    <w:rsid w:val="00261EC5"/>
    <w:rsid w:val="002622A2"/>
    <w:rsid w:val="00263D7F"/>
    <w:rsid w:val="00264177"/>
    <w:rsid w:val="00264DFE"/>
    <w:rsid w:val="00265059"/>
    <w:rsid w:val="0026556E"/>
    <w:rsid w:val="00265DAC"/>
    <w:rsid w:val="00265F52"/>
    <w:rsid w:val="00265F7A"/>
    <w:rsid w:val="00265FE7"/>
    <w:rsid w:val="002665C5"/>
    <w:rsid w:val="00266D96"/>
    <w:rsid w:val="00266F34"/>
    <w:rsid w:val="002670D0"/>
    <w:rsid w:val="00267477"/>
    <w:rsid w:val="00267502"/>
    <w:rsid w:val="0026795F"/>
    <w:rsid w:val="00267989"/>
    <w:rsid w:val="00270155"/>
    <w:rsid w:val="00270220"/>
    <w:rsid w:val="00270232"/>
    <w:rsid w:val="002705B8"/>
    <w:rsid w:val="00270DC2"/>
    <w:rsid w:val="002720C6"/>
    <w:rsid w:val="00272202"/>
    <w:rsid w:val="002727D6"/>
    <w:rsid w:val="00272A08"/>
    <w:rsid w:val="00272E55"/>
    <w:rsid w:val="00273094"/>
    <w:rsid w:val="00273189"/>
    <w:rsid w:val="002747D3"/>
    <w:rsid w:val="00275488"/>
    <w:rsid w:val="002755E0"/>
    <w:rsid w:val="00275C6D"/>
    <w:rsid w:val="00275E23"/>
    <w:rsid w:val="00275F24"/>
    <w:rsid w:val="0027645D"/>
    <w:rsid w:val="00276777"/>
    <w:rsid w:val="002773CB"/>
    <w:rsid w:val="0027757D"/>
    <w:rsid w:val="002775ED"/>
    <w:rsid w:val="00281BD1"/>
    <w:rsid w:val="00282127"/>
    <w:rsid w:val="00283258"/>
    <w:rsid w:val="00283E23"/>
    <w:rsid w:val="0028433B"/>
    <w:rsid w:val="002847DD"/>
    <w:rsid w:val="002856E5"/>
    <w:rsid w:val="00285BDB"/>
    <w:rsid w:val="00286020"/>
    <w:rsid w:val="00286804"/>
    <w:rsid w:val="0029085A"/>
    <w:rsid w:val="00291BD9"/>
    <w:rsid w:val="00291D82"/>
    <w:rsid w:val="002921B4"/>
    <w:rsid w:val="00292AC6"/>
    <w:rsid w:val="00292D72"/>
    <w:rsid w:val="002932DA"/>
    <w:rsid w:val="00293402"/>
    <w:rsid w:val="00293D1B"/>
    <w:rsid w:val="0029538D"/>
    <w:rsid w:val="002957EC"/>
    <w:rsid w:val="00295F6F"/>
    <w:rsid w:val="00295F9E"/>
    <w:rsid w:val="0029620C"/>
    <w:rsid w:val="00297506"/>
    <w:rsid w:val="002A1914"/>
    <w:rsid w:val="002A1D67"/>
    <w:rsid w:val="002A2061"/>
    <w:rsid w:val="002A2725"/>
    <w:rsid w:val="002A2DB9"/>
    <w:rsid w:val="002A347C"/>
    <w:rsid w:val="002A3793"/>
    <w:rsid w:val="002A37CA"/>
    <w:rsid w:val="002A3BF6"/>
    <w:rsid w:val="002A5953"/>
    <w:rsid w:val="002A6044"/>
    <w:rsid w:val="002A6424"/>
    <w:rsid w:val="002A6907"/>
    <w:rsid w:val="002A6A1F"/>
    <w:rsid w:val="002A76C7"/>
    <w:rsid w:val="002A7BDD"/>
    <w:rsid w:val="002A7DEA"/>
    <w:rsid w:val="002B0706"/>
    <w:rsid w:val="002B084E"/>
    <w:rsid w:val="002B107D"/>
    <w:rsid w:val="002B1BF4"/>
    <w:rsid w:val="002B1F96"/>
    <w:rsid w:val="002B222A"/>
    <w:rsid w:val="002B272B"/>
    <w:rsid w:val="002B2B96"/>
    <w:rsid w:val="002B2E78"/>
    <w:rsid w:val="002B2F60"/>
    <w:rsid w:val="002B314A"/>
    <w:rsid w:val="002B4108"/>
    <w:rsid w:val="002B4A95"/>
    <w:rsid w:val="002B4BE7"/>
    <w:rsid w:val="002B4E2E"/>
    <w:rsid w:val="002B5921"/>
    <w:rsid w:val="002B5EFE"/>
    <w:rsid w:val="002B6C93"/>
    <w:rsid w:val="002B74F9"/>
    <w:rsid w:val="002B7901"/>
    <w:rsid w:val="002C118A"/>
    <w:rsid w:val="002C1A0F"/>
    <w:rsid w:val="002C1A15"/>
    <w:rsid w:val="002C2AFA"/>
    <w:rsid w:val="002C2EE6"/>
    <w:rsid w:val="002C36F8"/>
    <w:rsid w:val="002C5546"/>
    <w:rsid w:val="002C6420"/>
    <w:rsid w:val="002C6494"/>
    <w:rsid w:val="002C684C"/>
    <w:rsid w:val="002D283E"/>
    <w:rsid w:val="002D2B2C"/>
    <w:rsid w:val="002D347A"/>
    <w:rsid w:val="002D3908"/>
    <w:rsid w:val="002D53BD"/>
    <w:rsid w:val="002D5D39"/>
    <w:rsid w:val="002D5EE7"/>
    <w:rsid w:val="002D6CE5"/>
    <w:rsid w:val="002D6F14"/>
    <w:rsid w:val="002D7820"/>
    <w:rsid w:val="002E0459"/>
    <w:rsid w:val="002E05B7"/>
    <w:rsid w:val="002E0EAE"/>
    <w:rsid w:val="002E0F5D"/>
    <w:rsid w:val="002E1941"/>
    <w:rsid w:val="002E245B"/>
    <w:rsid w:val="002E2EE9"/>
    <w:rsid w:val="002E3010"/>
    <w:rsid w:val="002E38F9"/>
    <w:rsid w:val="002E4B7A"/>
    <w:rsid w:val="002E5F2A"/>
    <w:rsid w:val="002E6423"/>
    <w:rsid w:val="002E6890"/>
    <w:rsid w:val="002E6EA9"/>
    <w:rsid w:val="002F1C7C"/>
    <w:rsid w:val="002F4B65"/>
    <w:rsid w:val="002F642E"/>
    <w:rsid w:val="002F6A4A"/>
    <w:rsid w:val="002F6D2D"/>
    <w:rsid w:val="002F7AD5"/>
    <w:rsid w:val="003011F1"/>
    <w:rsid w:val="00301568"/>
    <w:rsid w:val="0030159E"/>
    <w:rsid w:val="00301A72"/>
    <w:rsid w:val="00301EAC"/>
    <w:rsid w:val="0030274C"/>
    <w:rsid w:val="00302AF9"/>
    <w:rsid w:val="003030A1"/>
    <w:rsid w:val="00303424"/>
    <w:rsid w:val="00304070"/>
    <w:rsid w:val="0030417E"/>
    <w:rsid w:val="003045FD"/>
    <w:rsid w:val="00305231"/>
    <w:rsid w:val="00305346"/>
    <w:rsid w:val="00305600"/>
    <w:rsid w:val="00305930"/>
    <w:rsid w:val="00305C20"/>
    <w:rsid w:val="0030708C"/>
    <w:rsid w:val="00307904"/>
    <w:rsid w:val="00307FC5"/>
    <w:rsid w:val="0031012D"/>
    <w:rsid w:val="00310411"/>
    <w:rsid w:val="00311447"/>
    <w:rsid w:val="003116B4"/>
    <w:rsid w:val="00311D7A"/>
    <w:rsid w:val="00312593"/>
    <w:rsid w:val="00312C29"/>
    <w:rsid w:val="003142F8"/>
    <w:rsid w:val="003147C8"/>
    <w:rsid w:val="00314F7E"/>
    <w:rsid w:val="00315298"/>
    <w:rsid w:val="0031645D"/>
    <w:rsid w:val="00316559"/>
    <w:rsid w:val="0031680B"/>
    <w:rsid w:val="00316869"/>
    <w:rsid w:val="003171E7"/>
    <w:rsid w:val="00317370"/>
    <w:rsid w:val="00317AEA"/>
    <w:rsid w:val="0032047C"/>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343"/>
    <w:rsid w:val="00331541"/>
    <w:rsid w:val="00331550"/>
    <w:rsid w:val="003317C8"/>
    <w:rsid w:val="0033197E"/>
    <w:rsid w:val="00332BA5"/>
    <w:rsid w:val="00332F3B"/>
    <w:rsid w:val="003332FA"/>
    <w:rsid w:val="003334B7"/>
    <w:rsid w:val="003334ED"/>
    <w:rsid w:val="0033442C"/>
    <w:rsid w:val="00334F69"/>
    <w:rsid w:val="00335788"/>
    <w:rsid w:val="00335F0E"/>
    <w:rsid w:val="00336508"/>
    <w:rsid w:val="00336BE5"/>
    <w:rsid w:val="0033767D"/>
    <w:rsid w:val="003404E8"/>
    <w:rsid w:val="00340549"/>
    <w:rsid w:val="00341B9B"/>
    <w:rsid w:val="00341D45"/>
    <w:rsid w:val="00342B3B"/>
    <w:rsid w:val="00342BD1"/>
    <w:rsid w:val="00342DF9"/>
    <w:rsid w:val="003434D7"/>
    <w:rsid w:val="00343AAC"/>
    <w:rsid w:val="003442C1"/>
    <w:rsid w:val="00344AA5"/>
    <w:rsid w:val="00344D3C"/>
    <w:rsid w:val="0034515C"/>
    <w:rsid w:val="00345AF9"/>
    <w:rsid w:val="003460FF"/>
    <w:rsid w:val="003461F5"/>
    <w:rsid w:val="003462C7"/>
    <w:rsid w:val="00347CE9"/>
    <w:rsid w:val="00350AC9"/>
    <w:rsid w:val="00350EA8"/>
    <w:rsid w:val="0035161B"/>
    <w:rsid w:val="00351ADB"/>
    <w:rsid w:val="00352373"/>
    <w:rsid w:val="0035238F"/>
    <w:rsid w:val="00352F88"/>
    <w:rsid w:val="00353CE5"/>
    <w:rsid w:val="00354B58"/>
    <w:rsid w:val="00354D8A"/>
    <w:rsid w:val="003557BF"/>
    <w:rsid w:val="00356339"/>
    <w:rsid w:val="00356CAE"/>
    <w:rsid w:val="0036023F"/>
    <w:rsid w:val="003616B0"/>
    <w:rsid w:val="003627DC"/>
    <w:rsid w:val="00362EB7"/>
    <w:rsid w:val="0036355B"/>
    <w:rsid w:val="003636BB"/>
    <w:rsid w:val="0036459C"/>
    <w:rsid w:val="00364EB8"/>
    <w:rsid w:val="003650CE"/>
    <w:rsid w:val="003651ED"/>
    <w:rsid w:val="00365382"/>
    <w:rsid w:val="00366254"/>
    <w:rsid w:val="0036679B"/>
    <w:rsid w:val="00366D25"/>
    <w:rsid w:val="00366DA6"/>
    <w:rsid w:val="003675FB"/>
    <w:rsid w:val="00367824"/>
    <w:rsid w:val="00371293"/>
    <w:rsid w:val="00371955"/>
    <w:rsid w:val="003719DB"/>
    <w:rsid w:val="0037244B"/>
    <w:rsid w:val="0037283E"/>
    <w:rsid w:val="00372C86"/>
    <w:rsid w:val="003734A1"/>
    <w:rsid w:val="003735F5"/>
    <w:rsid w:val="0037380E"/>
    <w:rsid w:val="00374702"/>
    <w:rsid w:val="00375872"/>
    <w:rsid w:val="003767CE"/>
    <w:rsid w:val="00377442"/>
    <w:rsid w:val="00377EE7"/>
    <w:rsid w:val="00380692"/>
    <w:rsid w:val="00381553"/>
    <w:rsid w:val="00382211"/>
    <w:rsid w:val="003828C5"/>
    <w:rsid w:val="00383075"/>
    <w:rsid w:val="003841AD"/>
    <w:rsid w:val="00385527"/>
    <w:rsid w:val="00385943"/>
    <w:rsid w:val="0038613B"/>
    <w:rsid w:val="00390B06"/>
    <w:rsid w:val="00390EBA"/>
    <w:rsid w:val="00391C92"/>
    <w:rsid w:val="00391F9D"/>
    <w:rsid w:val="0039330F"/>
    <w:rsid w:val="003935BA"/>
    <w:rsid w:val="00393639"/>
    <w:rsid w:val="00393753"/>
    <w:rsid w:val="00393D75"/>
    <w:rsid w:val="003961CC"/>
    <w:rsid w:val="00396258"/>
    <w:rsid w:val="0039668C"/>
    <w:rsid w:val="003972E9"/>
    <w:rsid w:val="00397C0E"/>
    <w:rsid w:val="003A07CE"/>
    <w:rsid w:val="003A0FC1"/>
    <w:rsid w:val="003A1372"/>
    <w:rsid w:val="003A1D77"/>
    <w:rsid w:val="003A1E71"/>
    <w:rsid w:val="003A2475"/>
    <w:rsid w:val="003A26DD"/>
    <w:rsid w:val="003A2A7E"/>
    <w:rsid w:val="003A2D74"/>
    <w:rsid w:val="003A3BAC"/>
    <w:rsid w:val="003A3D3F"/>
    <w:rsid w:val="003A3EE5"/>
    <w:rsid w:val="003A4355"/>
    <w:rsid w:val="003A57FC"/>
    <w:rsid w:val="003A5DC5"/>
    <w:rsid w:val="003A5FC2"/>
    <w:rsid w:val="003A6146"/>
    <w:rsid w:val="003A6589"/>
    <w:rsid w:val="003A680E"/>
    <w:rsid w:val="003A6FAF"/>
    <w:rsid w:val="003A7347"/>
    <w:rsid w:val="003A76C7"/>
    <w:rsid w:val="003B0943"/>
    <w:rsid w:val="003B0B9D"/>
    <w:rsid w:val="003B252F"/>
    <w:rsid w:val="003B2A3A"/>
    <w:rsid w:val="003B2F07"/>
    <w:rsid w:val="003B33DC"/>
    <w:rsid w:val="003B3444"/>
    <w:rsid w:val="003B3B7B"/>
    <w:rsid w:val="003B409D"/>
    <w:rsid w:val="003B43F4"/>
    <w:rsid w:val="003B51EF"/>
    <w:rsid w:val="003B527C"/>
    <w:rsid w:val="003B5F73"/>
    <w:rsid w:val="003B699D"/>
    <w:rsid w:val="003B7301"/>
    <w:rsid w:val="003B7520"/>
    <w:rsid w:val="003C253A"/>
    <w:rsid w:val="003C276F"/>
    <w:rsid w:val="003C2B67"/>
    <w:rsid w:val="003C3AF7"/>
    <w:rsid w:val="003C4735"/>
    <w:rsid w:val="003C4B4B"/>
    <w:rsid w:val="003C4FA5"/>
    <w:rsid w:val="003C5CA8"/>
    <w:rsid w:val="003C63ED"/>
    <w:rsid w:val="003C64D0"/>
    <w:rsid w:val="003C665A"/>
    <w:rsid w:val="003C6A11"/>
    <w:rsid w:val="003C6EF0"/>
    <w:rsid w:val="003C7E99"/>
    <w:rsid w:val="003C7FF1"/>
    <w:rsid w:val="003D129A"/>
    <w:rsid w:val="003D36E7"/>
    <w:rsid w:val="003D53C7"/>
    <w:rsid w:val="003D546A"/>
    <w:rsid w:val="003D5888"/>
    <w:rsid w:val="003D5C77"/>
    <w:rsid w:val="003D7122"/>
    <w:rsid w:val="003E09FF"/>
    <w:rsid w:val="003E0BA3"/>
    <w:rsid w:val="003E0C00"/>
    <w:rsid w:val="003E1D70"/>
    <w:rsid w:val="003E1E5B"/>
    <w:rsid w:val="003E36B9"/>
    <w:rsid w:val="003E4B40"/>
    <w:rsid w:val="003E5817"/>
    <w:rsid w:val="003E6361"/>
    <w:rsid w:val="003E6D97"/>
    <w:rsid w:val="003E79D1"/>
    <w:rsid w:val="003F2223"/>
    <w:rsid w:val="003F287F"/>
    <w:rsid w:val="003F2DC5"/>
    <w:rsid w:val="003F31F1"/>
    <w:rsid w:val="003F3963"/>
    <w:rsid w:val="003F748C"/>
    <w:rsid w:val="004002DF"/>
    <w:rsid w:val="0040111D"/>
    <w:rsid w:val="0040156D"/>
    <w:rsid w:val="004015BB"/>
    <w:rsid w:val="00401A90"/>
    <w:rsid w:val="00402301"/>
    <w:rsid w:val="0040334B"/>
    <w:rsid w:val="00403830"/>
    <w:rsid w:val="004046E5"/>
    <w:rsid w:val="004058EB"/>
    <w:rsid w:val="00405B73"/>
    <w:rsid w:val="00406A96"/>
    <w:rsid w:val="0040703E"/>
    <w:rsid w:val="00407D0B"/>
    <w:rsid w:val="00410137"/>
    <w:rsid w:val="004104B2"/>
    <w:rsid w:val="00410C80"/>
    <w:rsid w:val="00411DE5"/>
    <w:rsid w:val="0041297A"/>
    <w:rsid w:val="00413089"/>
    <w:rsid w:val="004133DB"/>
    <w:rsid w:val="00414AB8"/>
    <w:rsid w:val="00415379"/>
    <w:rsid w:val="00415679"/>
    <w:rsid w:val="00415AB6"/>
    <w:rsid w:val="00416041"/>
    <w:rsid w:val="00416DD7"/>
    <w:rsid w:val="00416F13"/>
    <w:rsid w:val="00417E73"/>
    <w:rsid w:val="0042052E"/>
    <w:rsid w:val="00420D5E"/>
    <w:rsid w:val="00421AD0"/>
    <w:rsid w:val="004221E6"/>
    <w:rsid w:val="00422729"/>
    <w:rsid w:val="0042669E"/>
    <w:rsid w:val="004277D9"/>
    <w:rsid w:val="004301C4"/>
    <w:rsid w:val="00430762"/>
    <w:rsid w:val="004308E8"/>
    <w:rsid w:val="00430A5F"/>
    <w:rsid w:val="004327AC"/>
    <w:rsid w:val="004339FA"/>
    <w:rsid w:val="00434A6D"/>
    <w:rsid w:val="00437393"/>
    <w:rsid w:val="00437930"/>
    <w:rsid w:val="004404AA"/>
    <w:rsid w:val="004408D6"/>
    <w:rsid w:val="0044121D"/>
    <w:rsid w:val="0044136B"/>
    <w:rsid w:val="00441D8E"/>
    <w:rsid w:val="00441DAE"/>
    <w:rsid w:val="00442445"/>
    <w:rsid w:val="00443300"/>
    <w:rsid w:val="00444A47"/>
    <w:rsid w:val="00444A61"/>
    <w:rsid w:val="00446348"/>
    <w:rsid w:val="004464EC"/>
    <w:rsid w:val="004470F2"/>
    <w:rsid w:val="0044760D"/>
    <w:rsid w:val="0044760F"/>
    <w:rsid w:val="004479E5"/>
    <w:rsid w:val="00447AD1"/>
    <w:rsid w:val="0045118B"/>
    <w:rsid w:val="004531AD"/>
    <w:rsid w:val="0045320E"/>
    <w:rsid w:val="004536F5"/>
    <w:rsid w:val="00453765"/>
    <w:rsid w:val="0045436C"/>
    <w:rsid w:val="00454B6C"/>
    <w:rsid w:val="00455BFB"/>
    <w:rsid w:val="00456701"/>
    <w:rsid w:val="004568D2"/>
    <w:rsid w:val="00456C34"/>
    <w:rsid w:val="004572B9"/>
    <w:rsid w:val="00457D56"/>
    <w:rsid w:val="00457D90"/>
    <w:rsid w:val="00460396"/>
    <w:rsid w:val="00460716"/>
    <w:rsid w:val="004625C2"/>
    <w:rsid w:val="00463008"/>
    <w:rsid w:val="00463D8C"/>
    <w:rsid w:val="00464207"/>
    <w:rsid w:val="00464295"/>
    <w:rsid w:val="00464781"/>
    <w:rsid w:val="00464838"/>
    <w:rsid w:val="00464CD6"/>
    <w:rsid w:val="00465897"/>
    <w:rsid w:val="00466FAB"/>
    <w:rsid w:val="0047105D"/>
    <w:rsid w:val="00471C88"/>
    <w:rsid w:val="00472140"/>
    <w:rsid w:val="004728CC"/>
    <w:rsid w:val="00473CE5"/>
    <w:rsid w:val="00473ED5"/>
    <w:rsid w:val="004744F0"/>
    <w:rsid w:val="00474909"/>
    <w:rsid w:val="00474AE7"/>
    <w:rsid w:val="00474D0B"/>
    <w:rsid w:val="00475000"/>
    <w:rsid w:val="004750DF"/>
    <w:rsid w:val="004755A6"/>
    <w:rsid w:val="00476761"/>
    <w:rsid w:val="004768F8"/>
    <w:rsid w:val="004805A6"/>
    <w:rsid w:val="00480D65"/>
    <w:rsid w:val="00480E76"/>
    <w:rsid w:val="00481A8B"/>
    <w:rsid w:val="00483C84"/>
    <w:rsid w:val="004842C7"/>
    <w:rsid w:val="0048510E"/>
    <w:rsid w:val="00485488"/>
    <w:rsid w:val="00486B3D"/>
    <w:rsid w:val="00486C46"/>
    <w:rsid w:val="00486C85"/>
    <w:rsid w:val="00486F4C"/>
    <w:rsid w:val="004870BB"/>
    <w:rsid w:val="00490732"/>
    <w:rsid w:val="00491B44"/>
    <w:rsid w:val="00491D0A"/>
    <w:rsid w:val="00492F96"/>
    <w:rsid w:val="004933BC"/>
    <w:rsid w:val="004937DE"/>
    <w:rsid w:val="00493E2F"/>
    <w:rsid w:val="004941A3"/>
    <w:rsid w:val="0049427D"/>
    <w:rsid w:val="00494D8F"/>
    <w:rsid w:val="004953F0"/>
    <w:rsid w:val="00495EC8"/>
    <w:rsid w:val="004964E4"/>
    <w:rsid w:val="0049774D"/>
    <w:rsid w:val="004A00E5"/>
    <w:rsid w:val="004A0574"/>
    <w:rsid w:val="004A09AF"/>
    <w:rsid w:val="004A1110"/>
    <w:rsid w:val="004A3A5F"/>
    <w:rsid w:val="004A3E12"/>
    <w:rsid w:val="004A4849"/>
    <w:rsid w:val="004A509C"/>
    <w:rsid w:val="004A6092"/>
    <w:rsid w:val="004A6DE2"/>
    <w:rsid w:val="004B027B"/>
    <w:rsid w:val="004B0395"/>
    <w:rsid w:val="004B1152"/>
    <w:rsid w:val="004B189C"/>
    <w:rsid w:val="004B281F"/>
    <w:rsid w:val="004B3435"/>
    <w:rsid w:val="004B34C2"/>
    <w:rsid w:val="004B35C5"/>
    <w:rsid w:val="004B3A28"/>
    <w:rsid w:val="004B42A4"/>
    <w:rsid w:val="004B4FF2"/>
    <w:rsid w:val="004B54E8"/>
    <w:rsid w:val="004B554D"/>
    <w:rsid w:val="004B5DA0"/>
    <w:rsid w:val="004B66B1"/>
    <w:rsid w:val="004B69B4"/>
    <w:rsid w:val="004B6D06"/>
    <w:rsid w:val="004B7948"/>
    <w:rsid w:val="004C14F7"/>
    <w:rsid w:val="004C155D"/>
    <w:rsid w:val="004C166E"/>
    <w:rsid w:val="004C1BB7"/>
    <w:rsid w:val="004C29BA"/>
    <w:rsid w:val="004C3A02"/>
    <w:rsid w:val="004C3D86"/>
    <w:rsid w:val="004C3DEF"/>
    <w:rsid w:val="004C63E6"/>
    <w:rsid w:val="004C662F"/>
    <w:rsid w:val="004C6BF9"/>
    <w:rsid w:val="004C7557"/>
    <w:rsid w:val="004C7975"/>
    <w:rsid w:val="004D0A50"/>
    <w:rsid w:val="004D0E2E"/>
    <w:rsid w:val="004D11BE"/>
    <w:rsid w:val="004D20DF"/>
    <w:rsid w:val="004D220D"/>
    <w:rsid w:val="004D270B"/>
    <w:rsid w:val="004D2B15"/>
    <w:rsid w:val="004D2D4A"/>
    <w:rsid w:val="004D3088"/>
    <w:rsid w:val="004D30B8"/>
    <w:rsid w:val="004D380A"/>
    <w:rsid w:val="004D39F0"/>
    <w:rsid w:val="004D4983"/>
    <w:rsid w:val="004D4DED"/>
    <w:rsid w:val="004D4DF8"/>
    <w:rsid w:val="004D5391"/>
    <w:rsid w:val="004D58B3"/>
    <w:rsid w:val="004D5AF0"/>
    <w:rsid w:val="004E021F"/>
    <w:rsid w:val="004E0408"/>
    <w:rsid w:val="004E1AD0"/>
    <w:rsid w:val="004E1F1B"/>
    <w:rsid w:val="004E2559"/>
    <w:rsid w:val="004E29A8"/>
    <w:rsid w:val="004E2B52"/>
    <w:rsid w:val="004E2F98"/>
    <w:rsid w:val="004E34D8"/>
    <w:rsid w:val="004E3E61"/>
    <w:rsid w:val="004E4060"/>
    <w:rsid w:val="004E440A"/>
    <w:rsid w:val="004E4872"/>
    <w:rsid w:val="004E4FA3"/>
    <w:rsid w:val="004E502E"/>
    <w:rsid w:val="004E56A6"/>
    <w:rsid w:val="004E605E"/>
    <w:rsid w:val="004E64F1"/>
    <w:rsid w:val="004E754D"/>
    <w:rsid w:val="004E7A2C"/>
    <w:rsid w:val="004E7DFB"/>
    <w:rsid w:val="004F0ABA"/>
    <w:rsid w:val="004F0D80"/>
    <w:rsid w:val="004F2CA0"/>
    <w:rsid w:val="004F2D73"/>
    <w:rsid w:val="004F34AD"/>
    <w:rsid w:val="004F3B5F"/>
    <w:rsid w:val="004F3BCF"/>
    <w:rsid w:val="004F4F0A"/>
    <w:rsid w:val="004F539F"/>
    <w:rsid w:val="004F557F"/>
    <w:rsid w:val="004F5808"/>
    <w:rsid w:val="004F5BE5"/>
    <w:rsid w:val="004F66DC"/>
    <w:rsid w:val="004F7CB2"/>
    <w:rsid w:val="005005E6"/>
    <w:rsid w:val="0050188A"/>
    <w:rsid w:val="005019B4"/>
    <w:rsid w:val="005029E8"/>
    <w:rsid w:val="00502ADA"/>
    <w:rsid w:val="00503238"/>
    <w:rsid w:val="005038A5"/>
    <w:rsid w:val="005043C6"/>
    <w:rsid w:val="00504938"/>
    <w:rsid w:val="00504F3D"/>
    <w:rsid w:val="00506547"/>
    <w:rsid w:val="005074E0"/>
    <w:rsid w:val="005078D8"/>
    <w:rsid w:val="00507F94"/>
    <w:rsid w:val="00510566"/>
    <w:rsid w:val="00511684"/>
    <w:rsid w:val="00512BD6"/>
    <w:rsid w:val="00513DD4"/>
    <w:rsid w:val="00514158"/>
    <w:rsid w:val="0051471D"/>
    <w:rsid w:val="005152A7"/>
    <w:rsid w:val="005164C8"/>
    <w:rsid w:val="0051671E"/>
    <w:rsid w:val="00517013"/>
    <w:rsid w:val="00517B69"/>
    <w:rsid w:val="00517DD3"/>
    <w:rsid w:val="00520297"/>
    <w:rsid w:val="0052130A"/>
    <w:rsid w:val="005213C6"/>
    <w:rsid w:val="00521AC0"/>
    <w:rsid w:val="00521F63"/>
    <w:rsid w:val="005222AC"/>
    <w:rsid w:val="005228B2"/>
    <w:rsid w:val="005231DE"/>
    <w:rsid w:val="00524174"/>
    <w:rsid w:val="00525276"/>
    <w:rsid w:val="00525978"/>
    <w:rsid w:val="00526B99"/>
    <w:rsid w:val="005307F4"/>
    <w:rsid w:val="00530B6F"/>
    <w:rsid w:val="005312A4"/>
    <w:rsid w:val="005317F1"/>
    <w:rsid w:val="00531B58"/>
    <w:rsid w:val="00531CE8"/>
    <w:rsid w:val="005321F1"/>
    <w:rsid w:val="00532C01"/>
    <w:rsid w:val="00533DF8"/>
    <w:rsid w:val="00534916"/>
    <w:rsid w:val="00535117"/>
    <w:rsid w:val="0053515A"/>
    <w:rsid w:val="00535187"/>
    <w:rsid w:val="00535486"/>
    <w:rsid w:val="00536870"/>
    <w:rsid w:val="00537970"/>
    <w:rsid w:val="00540493"/>
    <w:rsid w:val="00540E7D"/>
    <w:rsid w:val="0054156E"/>
    <w:rsid w:val="00541A91"/>
    <w:rsid w:val="00541E2D"/>
    <w:rsid w:val="00541EB9"/>
    <w:rsid w:val="00542161"/>
    <w:rsid w:val="005427C9"/>
    <w:rsid w:val="00543141"/>
    <w:rsid w:val="005431A7"/>
    <w:rsid w:val="0054336C"/>
    <w:rsid w:val="00543604"/>
    <w:rsid w:val="00543F18"/>
    <w:rsid w:val="00544A89"/>
    <w:rsid w:val="00544CE4"/>
    <w:rsid w:val="00545643"/>
    <w:rsid w:val="00546949"/>
    <w:rsid w:val="00547AFB"/>
    <w:rsid w:val="00547C86"/>
    <w:rsid w:val="00550271"/>
    <w:rsid w:val="005504A5"/>
    <w:rsid w:val="00550574"/>
    <w:rsid w:val="00551963"/>
    <w:rsid w:val="00551C59"/>
    <w:rsid w:val="00552128"/>
    <w:rsid w:val="00554879"/>
    <w:rsid w:val="00555686"/>
    <w:rsid w:val="00555EAD"/>
    <w:rsid w:val="005562A3"/>
    <w:rsid w:val="00556645"/>
    <w:rsid w:val="00557220"/>
    <w:rsid w:val="00557A71"/>
    <w:rsid w:val="00560E56"/>
    <w:rsid w:val="0056111B"/>
    <w:rsid w:val="00563396"/>
    <w:rsid w:val="005640B0"/>
    <w:rsid w:val="00564D7D"/>
    <w:rsid w:val="0056550F"/>
    <w:rsid w:val="00567844"/>
    <w:rsid w:val="0056788C"/>
    <w:rsid w:val="0057096E"/>
    <w:rsid w:val="00571768"/>
    <w:rsid w:val="0057187A"/>
    <w:rsid w:val="00571BA3"/>
    <w:rsid w:val="00571CC8"/>
    <w:rsid w:val="00571F4E"/>
    <w:rsid w:val="0057220A"/>
    <w:rsid w:val="0057234C"/>
    <w:rsid w:val="005732A9"/>
    <w:rsid w:val="00573E16"/>
    <w:rsid w:val="0057450A"/>
    <w:rsid w:val="0057499B"/>
    <w:rsid w:val="0057499C"/>
    <w:rsid w:val="00575AB1"/>
    <w:rsid w:val="00576977"/>
    <w:rsid w:val="00577E2B"/>
    <w:rsid w:val="0058005C"/>
    <w:rsid w:val="005808FA"/>
    <w:rsid w:val="00582377"/>
    <w:rsid w:val="00582695"/>
    <w:rsid w:val="00583451"/>
    <w:rsid w:val="0058384C"/>
    <w:rsid w:val="00583B5E"/>
    <w:rsid w:val="00583E0B"/>
    <w:rsid w:val="005844DF"/>
    <w:rsid w:val="0058493F"/>
    <w:rsid w:val="00584A67"/>
    <w:rsid w:val="00584B69"/>
    <w:rsid w:val="0058508F"/>
    <w:rsid w:val="005859B2"/>
    <w:rsid w:val="005876CF"/>
    <w:rsid w:val="00587BCF"/>
    <w:rsid w:val="00590CE3"/>
    <w:rsid w:val="00590ED7"/>
    <w:rsid w:val="0059143C"/>
    <w:rsid w:val="00591898"/>
    <w:rsid w:val="00592361"/>
    <w:rsid w:val="00593BDF"/>
    <w:rsid w:val="00595528"/>
    <w:rsid w:val="005961AC"/>
    <w:rsid w:val="00597910"/>
    <w:rsid w:val="005A01EC"/>
    <w:rsid w:val="005A0D98"/>
    <w:rsid w:val="005A0E68"/>
    <w:rsid w:val="005A132B"/>
    <w:rsid w:val="005A1C8E"/>
    <w:rsid w:val="005A223D"/>
    <w:rsid w:val="005A2785"/>
    <w:rsid w:val="005A2A0F"/>
    <w:rsid w:val="005A2D3A"/>
    <w:rsid w:val="005A42CE"/>
    <w:rsid w:val="005A5730"/>
    <w:rsid w:val="005A5DD2"/>
    <w:rsid w:val="005A5DFB"/>
    <w:rsid w:val="005A6A89"/>
    <w:rsid w:val="005A6CBF"/>
    <w:rsid w:val="005A752B"/>
    <w:rsid w:val="005B0353"/>
    <w:rsid w:val="005B0A65"/>
    <w:rsid w:val="005B0B86"/>
    <w:rsid w:val="005B0CBD"/>
    <w:rsid w:val="005B193D"/>
    <w:rsid w:val="005B238E"/>
    <w:rsid w:val="005B30FF"/>
    <w:rsid w:val="005B39FA"/>
    <w:rsid w:val="005B3A59"/>
    <w:rsid w:val="005B4302"/>
    <w:rsid w:val="005B4CF7"/>
    <w:rsid w:val="005B647C"/>
    <w:rsid w:val="005B6C1B"/>
    <w:rsid w:val="005B6C5F"/>
    <w:rsid w:val="005B6F26"/>
    <w:rsid w:val="005B799B"/>
    <w:rsid w:val="005B7D6A"/>
    <w:rsid w:val="005B7F96"/>
    <w:rsid w:val="005C0645"/>
    <w:rsid w:val="005C1444"/>
    <w:rsid w:val="005C3515"/>
    <w:rsid w:val="005C36D5"/>
    <w:rsid w:val="005C3725"/>
    <w:rsid w:val="005C43A3"/>
    <w:rsid w:val="005C615E"/>
    <w:rsid w:val="005C7162"/>
    <w:rsid w:val="005C7321"/>
    <w:rsid w:val="005C7388"/>
    <w:rsid w:val="005C7E5D"/>
    <w:rsid w:val="005D0397"/>
    <w:rsid w:val="005D05EB"/>
    <w:rsid w:val="005D1810"/>
    <w:rsid w:val="005D1C76"/>
    <w:rsid w:val="005D2296"/>
    <w:rsid w:val="005D3418"/>
    <w:rsid w:val="005D433A"/>
    <w:rsid w:val="005D4DBD"/>
    <w:rsid w:val="005D4EF7"/>
    <w:rsid w:val="005D67F4"/>
    <w:rsid w:val="005D7CEF"/>
    <w:rsid w:val="005E0BD0"/>
    <w:rsid w:val="005E12D8"/>
    <w:rsid w:val="005E1CC5"/>
    <w:rsid w:val="005E256F"/>
    <w:rsid w:val="005E334C"/>
    <w:rsid w:val="005E33A9"/>
    <w:rsid w:val="005E361B"/>
    <w:rsid w:val="005E3F50"/>
    <w:rsid w:val="005E461A"/>
    <w:rsid w:val="005E50D4"/>
    <w:rsid w:val="005E5A59"/>
    <w:rsid w:val="005E638A"/>
    <w:rsid w:val="005E6490"/>
    <w:rsid w:val="005E6E88"/>
    <w:rsid w:val="005F07EA"/>
    <w:rsid w:val="005F082C"/>
    <w:rsid w:val="005F11C8"/>
    <w:rsid w:val="005F1211"/>
    <w:rsid w:val="005F18C9"/>
    <w:rsid w:val="005F1B66"/>
    <w:rsid w:val="005F2DBD"/>
    <w:rsid w:val="005F3898"/>
    <w:rsid w:val="005F4662"/>
    <w:rsid w:val="005F4912"/>
    <w:rsid w:val="005F4A08"/>
    <w:rsid w:val="005F4AFB"/>
    <w:rsid w:val="005F4E90"/>
    <w:rsid w:val="005F5546"/>
    <w:rsid w:val="005F5F10"/>
    <w:rsid w:val="005F5F97"/>
    <w:rsid w:val="00600073"/>
    <w:rsid w:val="006002D7"/>
    <w:rsid w:val="00601271"/>
    <w:rsid w:val="006019CB"/>
    <w:rsid w:val="00602AF5"/>
    <w:rsid w:val="00602B08"/>
    <w:rsid w:val="0060554D"/>
    <w:rsid w:val="00605E64"/>
    <w:rsid w:val="00605FD9"/>
    <w:rsid w:val="00606688"/>
    <w:rsid w:val="006067A2"/>
    <w:rsid w:val="00606FF7"/>
    <w:rsid w:val="006072A6"/>
    <w:rsid w:val="0061046D"/>
    <w:rsid w:val="0061069B"/>
    <w:rsid w:val="0061366F"/>
    <w:rsid w:val="00613B19"/>
    <w:rsid w:val="006147FC"/>
    <w:rsid w:val="0061676B"/>
    <w:rsid w:val="00620212"/>
    <w:rsid w:val="00621474"/>
    <w:rsid w:val="00622524"/>
    <w:rsid w:val="0062302A"/>
    <w:rsid w:val="0062320C"/>
    <w:rsid w:val="00624571"/>
    <w:rsid w:val="00625CF6"/>
    <w:rsid w:val="00626495"/>
    <w:rsid w:val="0062660E"/>
    <w:rsid w:val="00627670"/>
    <w:rsid w:val="00627B0D"/>
    <w:rsid w:val="00630412"/>
    <w:rsid w:val="00630BB2"/>
    <w:rsid w:val="0063106B"/>
    <w:rsid w:val="006310E5"/>
    <w:rsid w:val="00633E30"/>
    <w:rsid w:val="006346E5"/>
    <w:rsid w:val="00634B99"/>
    <w:rsid w:val="00635741"/>
    <w:rsid w:val="006361A6"/>
    <w:rsid w:val="00637FE3"/>
    <w:rsid w:val="00640EAD"/>
    <w:rsid w:val="006418C9"/>
    <w:rsid w:val="0064266C"/>
    <w:rsid w:val="006450DB"/>
    <w:rsid w:val="00645276"/>
    <w:rsid w:val="0064589D"/>
    <w:rsid w:val="00647061"/>
    <w:rsid w:val="00647067"/>
    <w:rsid w:val="0064707C"/>
    <w:rsid w:val="00647C37"/>
    <w:rsid w:val="00647F71"/>
    <w:rsid w:val="0065093F"/>
    <w:rsid w:val="00650D72"/>
    <w:rsid w:val="00652740"/>
    <w:rsid w:val="00652BB4"/>
    <w:rsid w:val="00652DE9"/>
    <w:rsid w:val="0065369C"/>
    <w:rsid w:val="00653A37"/>
    <w:rsid w:val="00654EA1"/>
    <w:rsid w:val="00655B26"/>
    <w:rsid w:val="00656898"/>
    <w:rsid w:val="00656CAA"/>
    <w:rsid w:val="006573B8"/>
    <w:rsid w:val="00660B29"/>
    <w:rsid w:val="00661551"/>
    <w:rsid w:val="0066157D"/>
    <w:rsid w:val="006617FE"/>
    <w:rsid w:val="006618DD"/>
    <w:rsid w:val="0066232B"/>
    <w:rsid w:val="00663D05"/>
    <w:rsid w:val="006656E8"/>
    <w:rsid w:val="006657C1"/>
    <w:rsid w:val="006661B2"/>
    <w:rsid w:val="006662EF"/>
    <w:rsid w:val="00670D75"/>
    <w:rsid w:val="00672434"/>
    <w:rsid w:val="006724C2"/>
    <w:rsid w:val="00672690"/>
    <w:rsid w:val="00672893"/>
    <w:rsid w:val="00672E8D"/>
    <w:rsid w:val="0067360C"/>
    <w:rsid w:val="00673879"/>
    <w:rsid w:val="00674D7D"/>
    <w:rsid w:val="00675C59"/>
    <w:rsid w:val="006761F4"/>
    <w:rsid w:val="00676A80"/>
    <w:rsid w:val="00676CE2"/>
    <w:rsid w:val="00677DF7"/>
    <w:rsid w:val="00680494"/>
    <w:rsid w:val="00681016"/>
    <w:rsid w:val="006816F3"/>
    <w:rsid w:val="006817C2"/>
    <w:rsid w:val="00681BCE"/>
    <w:rsid w:val="00681E5E"/>
    <w:rsid w:val="0068248D"/>
    <w:rsid w:val="006825A8"/>
    <w:rsid w:val="0068267E"/>
    <w:rsid w:val="00682EE6"/>
    <w:rsid w:val="006832DF"/>
    <w:rsid w:val="0068334C"/>
    <w:rsid w:val="006834FA"/>
    <w:rsid w:val="006847DB"/>
    <w:rsid w:val="00684C02"/>
    <w:rsid w:val="006853BA"/>
    <w:rsid w:val="0068544A"/>
    <w:rsid w:val="00686FFD"/>
    <w:rsid w:val="00690340"/>
    <w:rsid w:val="00690488"/>
    <w:rsid w:val="00690728"/>
    <w:rsid w:val="00691991"/>
    <w:rsid w:val="006927F9"/>
    <w:rsid w:val="00692D5B"/>
    <w:rsid w:val="006937AD"/>
    <w:rsid w:val="00693CB6"/>
    <w:rsid w:val="0069435A"/>
    <w:rsid w:val="00695020"/>
    <w:rsid w:val="00695233"/>
    <w:rsid w:val="00695568"/>
    <w:rsid w:val="006957AE"/>
    <w:rsid w:val="00695CE0"/>
    <w:rsid w:val="00696BD1"/>
    <w:rsid w:val="00696CB6"/>
    <w:rsid w:val="00697E74"/>
    <w:rsid w:val="006A1318"/>
    <w:rsid w:val="006A14A1"/>
    <w:rsid w:val="006A3D16"/>
    <w:rsid w:val="006A5453"/>
    <w:rsid w:val="006A5FA1"/>
    <w:rsid w:val="006A6400"/>
    <w:rsid w:val="006A67B5"/>
    <w:rsid w:val="006A73C1"/>
    <w:rsid w:val="006A7D40"/>
    <w:rsid w:val="006B023E"/>
    <w:rsid w:val="006B1C58"/>
    <w:rsid w:val="006B2E00"/>
    <w:rsid w:val="006B2F97"/>
    <w:rsid w:val="006B314C"/>
    <w:rsid w:val="006B3D97"/>
    <w:rsid w:val="006B3E3F"/>
    <w:rsid w:val="006B4137"/>
    <w:rsid w:val="006B4AFA"/>
    <w:rsid w:val="006B4C44"/>
    <w:rsid w:val="006B4F01"/>
    <w:rsid w:val="006B6B24"/>
    <w:rsid w:val="006B7C5E"/>
    <w:rsid w:val="006C11BD"/>
    <w:rsid w:val="006C30FD"/>
    <w:rsid w:val="006C3211"/>
    <w:rsid w:val="006C32A6"/>
    <w:rsid w:val="006C339D"/>
    <w:rsid w:val="006C39DB"/>
    <w:rsid w:val="006C3F2A"/>
    <w:rsid w:val="006C4137"/>
    <w:rsid w:val="006C42B7"/>
    <w:rsid w:val="006C549C"/>
    <w:rsid w:val="006C56A7"/>
    <w:rsid w:val="006C6553"/>
    <w:rsid w:val="006C720F"/>
    <w:rsid w:val="006C7994"/>
    <w:rsid w:val="006D13A3"/>
    <w:rsid w:val="006D2AAE"/>
    <w:rsid w:val="006D2C22"/>
    <w:rsid w:val="006D3194"/>
    <w:rsid w:val="006D5001"/>
    <w:rsid w:val="006D7942"/>
    <w:rsid w:val="006D7D11"/>
    <w:rsid w:val="006E0286"/>
    <w:rsid w:val="006E03CC"/>
    <w:rsid w:val="006E05D2"/>
    <w:rsid w:val="006E1961"/>
    <w:rsid w:val="006E1B42"/>
    <w:rsid w:val="006E23F3"/>
    <w:rsid w:val="006E2A7A"/>
    <w:rsid w:val="006E2D7E"/>
    <w:rsid w:val="006E3026"/>
    <w:rsid w:val="006E3240"/>
    <w:rsid w:val="006E4912"/>
    <w:rsid w:val="006E505A"/>
    <w:rsid w:val="006E53C5"/>
    <w:rsid w:val="006E61FF"/>
    <w:rsid w:val="006E6A8C"/>
    <w:rsid w:val="006E7897"/>
    <w:rsid w:val="006F0BDB"/>
    <w:rsid w:val="006F1020"/>
    <w:rsid w:val="006F139A"/>
    <w:rsid w:val="006F1634"/>
    <w:rsid w:val="006F1E69"/>
    <w:rsid w:val="006F2710"/>
    <w:rsid w:val="006F2749"/>
    <w:rsid w:val="006F2794"/>
    <w:rsid w:val="006F30DC"/>
    <w:rsid w:val="006F44A0"/>
    <w:rsid w:val="006F4CAC"/>
    <w:rsid w:val="006F6F99"/>
    <w:rsid w:val="006F73DC"/>
    <w:rsid w:val="006F7953"/>
    <w:rsid w:val="006F7A99"/>
    <w:rsid w:val="006F7FD4"/>
    <w:rsid w:val="00700BB4"/>
    <w:rsid w:val="00701456"/>
    <w:rsid w:val="0070254D"/>
    <w:rsid w:val="00703621"/>
    <w:rsid w:val="0070482D"/>
    <w:rsid w:val="00704C24"/>
    <w:rsid w:val="00706059"/>
    <w:rsid w:val="00706F7F"/>
    <w:rsid w:val="00707A6E"/>
    <w:rsid w:val="00710461"/>
    <w:rsid w:val="00712548"/>
    <w:rsid w:val="00712806"/>
    <w:rsid w:val="00712A3E"/>
    <w:rsid w:val="0071419C"/>
    <w:rsid w:val="00715015"/>
    <w:rsid w:val="007152CE"/>
    <w:rsid w:val="007153FF"/>
    <w:rsid w:val="00715A18"/>
    <w:rsid w:val="007165F2"/>
    <w:rsid w:val="00716C6D"/>
    <w:rsid w:val="00720B19"/>
    <w:rsid w:val="007210DD"/>
    <w:rsid w:val="00721256"/>
    <w:rsid w:val="00721339"/>
    <w:rsid w:val="00721567"/>
    <w:rsid w:val="00721B8A"/>
    <w:rsid w:val="00721F73"/>
    <w:rsid w:val="00723A76"/>
    <w:rsid w:val="00723B32"/>
    <w:rsid w:val="00724164"/>
    <w:rsid w:val="00724237"/>
    <w:rsid w:val="00724387"/>
    <w:rsid w:val="00724599"/>
    <w:rsid w:val="00725549"/>
    <w:rsid w:val="00725AF4"/>
    <w:rsid w:val="00725F40"/>
    <w:rsid w:val="00726260"/>
    <w:rsid w:val="00726AB3"/>
    <w:rsid w:val="007278C1"/>
    <w:rsid w:val="007308A3"/>
    <w:rsid w:val="00730AFF"/>
    <w:rsid w:val="007314EA"/>
    <w:rsid w:val="00731810"/>
    <w:rsid w:val="00731BDE"/>
    <w:rsid w:val="00731D40"/>
    <w:rsid w:val="00732AA8"/>
    <w:rsid w:val="00734B97"/>
    <w:rsid w:val="00734ED4"/>
    <w:rsid w:val="007359EC"/>
    <w:rsid w:val="0073621E"/>
    <w:rsid w:val="00737956"/>
    <w:rsid w:val="00737B34"/>
    <w:rsid w:val="0074146E"/>
    <w:rsid w:val="00741E25"/>
    <w:rsid w:val="007422FD"/>
    <w:rsid w:val="007435D2"/>
    <w:rsid w:val="00745086"/>
    <w:rsid w:val="00745474"/>
    <w:rsid w:val="007456C5"/>
    <w:rsid w:val="00745CE2"/>
    <w:rsid w:val="00745E0B"/>
    <w:rsid w:val="007461E5"/>
    <w:rsid w:val="0074744A"/>
    <w:rsid w:val="0074775B"/>
    <w:rsid w:val="00747B7E"/>
    <w:rsid w:val="00750238"/>
    <w:rsid w:val="00750FEA"/>
    <w:rsid w:val="00751D8B"/>
    <w:rsid w:val="00754980"/>
    <w:rsid w:val="007559C2"/>
    <w:rsid w:val="0075676A"/>
    <w:rsid w:val="00756F69"/>
    <w:rsid w:val="00757160"/>
    <w:rsid w:val="00757ED4"/>
    <w:rsid w:val="00760128"/>
    <w:rsid w:val="007609CB"/>
    <w:rsid w:val="00761BF9"/>
    <w:rsid w:val="007622EE"/>
    <w:rsid w:val="007638D9"/>
    <w:rsid w:val="0076493A"/>
    <w:rsid w:val="00766E66"/>
    <w:rsid w:val="007672D3"/>
    <w:rsid w:val="00767AD9"/>
    <w:rsid w:val="007710F3"/>
    <w:rsid w:val="0077213C"/>
    <w:rsid w:val="007730A6"/>
    <w:rsid w:val="0077383B"/>
    <w:rsid w:val="00773CBA"/>
    <w:rsid w:val="007753AE"/>
    <w:rsid w:val="00775A64"/>
    <w:rsid w:val="00775DE0"/>
    <w:rsid w:val="007767BA"/>
    <w:rsid w:val="00776F26"/>
    <w:rsid w:val="0077792C"/>
    <w:rsid w:val="007779BD"/>
    <w:rsid w:val="007806F0"/>
    <w:rsid w:val="00780BB3"/>
    <w:rsid w:val="007814C4"/>
    <w:rsid w:val="00781DA5"/>
    <w:rsid w:val="00782676"/>
    <w:rsid w:val="007829E3"/>
    <w:rsid w:val="00782AD5"/>
    <w:rsid w:val="00782BE5"/>
    <w:rsid w:val="007832DC"/>
    <w:rsid w:val="00783854"/>
    <w:rsid w:val="00783C1E"/>
    <w:rsid w:val="00784E56"/>
    <w:rsid w:val="00785222"/>
    <w:rsid w:val="00785332"/>
    <w:rsid w:val="00786023"/>
    <w:rsid w:val="0078628B"/>
    <w:rsid w:val="00786788"/>
    <w:rsid w:val="00787905"/>
    <w:rsid w:val="00787B6F"/>
    <w:rsid w:val="00787BF8"/>
    <w:rsid w:val="00790122"/>
    <w:rsid w:val="007943EB"/>
    <w:rsid w:val="00794CB1"/>
    <w:rsid w:val="007953E1"/>
    <w:rsid w:val="0079599A"/>
    <w:rsid w:val="00795D10"/>
    <w:rsid w:val="00795E84"/>
    <w:rsid w:val="007964AF"/>
    <w:rsid w:val="007965C1"/>
    <w:rsid w:val="00796CE5"/>
    <w:rsid w:val="00796D8B"/>
    <w:rsid w:val="007972D9"/>
    <w:rsid w:val="007A0040"/>
    <w:rsid w:val="007A1119"/>
    <w:rsid w:val="007A230D"/>
    <w:rsid w:val="007A2EBD"/>
    <w:rsid w:val="007A38C3"/>
    <w:rsid w:val="007A38E5"/>
    <w:rsid w:val="007A3EED"/>
    <w:rsid w:val="007A4E86"/>
    <w:rsid w:val="007A5322"/>
    <w:rsid w:val="007A543E"/>
    <w:rsid w:val="007A5688"/>
    <w:rsid w:val="007A6241"/>
    <w:rsid w:val="007A6871"/>
    <w:rsid w:val="007A700C"/>
    <w:rsid w:val="007A748B"/>
    <w:rsid w:val="007A7661"/>
    <w:rsid w:val="007A79C2"/>
    <w:rsid w:val="007B0413"/>
    <w:rsid w:val="007B09C0"/>
    <w:rsid w:val="007B13C5"/>
    <w:rsid w:val="007B1575"/>
    <w:rsid w:val="007B1594"/>
    <w:rsid w:val="007B188F"/>
    <w:rsid w:val="007B2289"/>
    <w:rsid w:val="007B2B2B"/>
    <w:rsid w:val="007B3493"/>
    <w:rsid w:val="007B3621"/>
    <w:rsid w:val="007B3A86"/>
    <w:rsid w:val="007B3D0F"/>
    <w:rsid w:val="007B541A"/>
    <w:rsid w:val="007B5AAF"/>
    <w:rsid w:val="007B6EE1"/>
    <w:rsid w:val="007B7824"/>
    <w:rsid w:val="007C08ED"/>
    <w:rsid w:val="007C12F7"/>
    <w:rsid w:val="007C173F"/>
    <w:rsid w:val="007C183B"/>
    <w:rsid w:val="007C2387"/>
    <w:rsid w:val="007C2FD8"/>
    <w:rsid w:val="007C325F"/>
    <w:rsid w:val="007C3794"/>
    <w:rsid w:val="007C3A12"/>
    <w:rsid w:val="007C466C"/>
    <w:rsid w:val="007C525F"/>
    <w:rsid w:val="007C5D52"/>
    <w:rsid w:val="007C638F"/>
    <w:rsid w:val="007C63E8"/>
    <w:rsid w:val="007C6A0A"/>
    <w:rsid w:val="007C73D8"/>
    <w:rsid w:val="007C73E1"/>
    <w:rsid w:val="007C7F00"/>
    <w:rsid w:val="007D0AA0"/>
    <w:rsid w:val="007D1519"/>
    <w:rsid w:val="007D1A06"/>
    <w:rsid w:val="007D1BBD"/>
    <w:rsid w:val="007D2020"/>
    <w:rsid w:val="007D430D"/>
    <w:rsid w:val="007D43BD"/>
    <w:rsid w:val="007D5929"/>
    <w:rsid w:val="007D5DA0"/>
    <w:rsid w:val="007D62CB"/>
    <w:rsid w:val="007D7A32"/>
    <w:rsid w:val="007D7B00"/>
    <w:rsid w:val="007E0EDE"/>
    <w:rsid w:val="007E124E"/>
    <w:rsid w:val="007E16DE"/>
    <w:rsid w:val="007E1E83"/>
    <w:rsid w:val="007E3B8A"/>
    <w:rsid w:val="007E3D79"/>
    <w:rsid w:val="007E5579"/>
    <w:rsid w:val="007E6538"/>
    <w:rsid w:val="007E6D97"/>
    <w:rsid w:val="007E6F70"/>
    <w:rsid w:val="007E7C0E"/>
    <w:rsid w:val="007E7E00"/>
    <w:rsid w:val="007F07C9"/>
    <w:rsid w:val="007F2041"/>
    <w:rsid w:val="007F20B6"/>
    <w:rsid w:val="007F2910"/>
    <w:rsid w:val="007F4A24"/>
    <w:rsid w:val="007F5246"/>
    <w:rsid w:val="007F586A"/>
    <w:rsid w:val="007F63BA"/>
    <w:rsid w:val="007F774F"/>
    <w:rsid w:val="0080149A"/>
    <w:rsid w:val="00802189"/>
    <w:rsid w:val="0080275C"/>
    <w:rsid w:val="00802876"/>
    <w:rsid w:val="00802FA5"/>
    <w:rsid w:val="0080305C"/>
    <w:rsid w:val="008032A1"/>
    <w:rsid w:val="00803578"/>
    <w:rsid w:val="0080358B"/>
    <w:rsid w:val="00804739"/>
    <w:rsid w:val="00805069"/>
    <w:rsid w:val="008062BA"/>
    <w:rsid w:val="0080648B"/>
    <w:rsid w:val="008068B6"/>
    <w:rsid w:val="00806E74"/>
    <w:rsid w:val="00807316"/>
    <w:rsid w:val="00807870"/>
    <w:rsid w:val="008079DC"/>
    <w:rsid w:val="008106F3"/>
    <w:rsid w:val="00810839"/>
    <w:rsid w:val="00810D2F"/>
    <w:rsid w:val="00811464"/>
    <w:rsid w:val="008116F6"/>
    <w:rsid w:val="00811C28"/>
    <w:rsid w:val="00812285"/>
    <w:rsid w:val="0081278F"/>
    <w:rsid w:val="00813365"/>
    <w:rsid w:val="008148CB"/>
    <w:rsid w:val="008149EB"/>
    <w:rsid w:val="00814DCD"/>
    <w:rsid w:val="00814EF9"/>
    <w:rsid w:val="0081590D"/>
    <w:rsid w:val="00815D26"/>
    <w:rsid w:val="00816F7C"/>
    <w:rsid w:val="00821DA1"/>
    <w:rsid w:val="008220A6"/>
    <w:rsid w:val="00822139"/>
    <w:rsid w:val="00822DC1"/>
    <w:rsid w:val="0082341B"/>
    <w:rsid w:val="00823572"/>
    <w:rsid w:val="00824479"/>
    <w:rsid w:val="00827C2B"/>
    <w:rsid w:val="0083028C"/>
    <w:rsid w:val="00830ED1"/>
    <w:rsid w:val="00831443"/>
    <w:rsid w:val="00831EBF"/>
    <w:rsid w:val="00832196"/>
    <w:rsid w:val="00833451"/>
    <w:rsid w:val="008334A2"/>
    <w:rsid w:val="00833548"/>
    <w:rsid w:val="008336F2"/>
    <w:rsid w:val="00833F65"/>
    <w:rsid w:val="00834ACB"/>
    <w:rsid w:val="008354A7"/>
    <w:rsid w:val="008366E3"/>
    <w:rsid w:val="00836B3C"/>
    <w:rsid w:val="008372EE"/>
    <w:rsid w:val="0083753F"/>
    <w:rsid w:val="008430E3"/>
    <w:rsid w:val="00844CB9"/>
    <w:rsid w:val="00845F33"/>
    <w:rsid w:val="008465A1"/>
    <w:rsid w:val="00846653"/>
    <w:rsid w:val="00846CA7"/>
    <w:rsid w:val="00847DBA"/>
    <w:rsid w:val="00850781"/>
    <w:rsid w:val="00851698"/>
    <w:rsid w:val="00851EAF"/>
    <w:rsid w:val="008522A6"/>
    <w:rsid w:val="008529B3"/>
    <w:rsid w:val="0085352D"/>
    <w:rsid w:val="008540B1"/>
    <w:rsid w:val="008542EF"/>
    <w:rsid w:val="00854C8D"/>
    <w:rsid w:val="00855236"/>
    <w:rsid w:val="00855AB2"/>
    <w:rsid w:val="00855C34"/>
    <w:rsid w:val="008566CD"/>
    <w:rsid w:val="008567D5"/>
    <w:rsid w:val="00856CE8"/>
    <w:rsid w:val="00857073"/>
    <w:rsid w:val="00857B8C"/>
    <w:rsid w:val="00860000"/>
    <w:rsid w:val="00860C8E"/>
    <w:rsid w:val="00861B80"/>
    <w:rsid w:val="00862F5F"/>
    <w:rsid w:val="008647AB"/>
    <w:rsid w:val="0086499C"/>
    <w:rsid w:val="00865669"/>
    <w:rsid w:val="00865904"/>
    <w:rsid w:val="008668D2"/>
    <w:rsid w:val="0087217E"/>
    <w:rsid w:val="0087265B"/>
    <w:rsid w:val="00872BDF"/>
    <w:rsid w:val="00873E04"/>
    <w:rsid w:val="0087456E"/>
    <w:rsid w:val="008745F1"/>
    <w:rsid w:val="00874618"/>
    <w:rsid w:val="00876094"/>
    <w:rsid w:val="008768A4"/>
    <w:rsid w:val="00876F9A"/>
    <w:rsid w:val="008772CB"/>
    <w:rsid w:val="00877950"/>
    <w:rsid w:val="008801D3"/>
    <w:rsid w:val="008808CC"/>
    <w:rsid w:val="0088144F"/>
    <w:rsid w:val="008814B8"/>
    <w:rsid w:val="008827F9"/>
    <w:rsid w:val="00883A12"/>
    <w:rsid w:val="00884BB4"/>
    <w:rsid w:val="00884F1B"/>
    <w:rsid w:val="00885086"/>
    <w:rsid w:val="00886870"/>
    <w:rsid w:val="008868D7"/>
    <w:rsid w:val="008868DD"/>
    <w:rsid w:val="00886D71"/>
    <w:rsid w:val="00886F06"/>
    <w:rsid w:val="00887D49"/>
    <w:rsid w:val="00890672"/>
    <w:rsid w:val="00890AEF"/>
    <w:rsid w:val="00890DF7"/>
    <w:rsid w:val="00891C93"/>
    <w:rsid w:val="008936B0"/>
    <w:rsid w:val="00894A58"/>
    <w:rsid w:val="008971B7"/>
    <w:rsid w:val="00897385"/>
    <w:rsid w:val="008A0638"/>
    <w:rsid w:val="008A06C3"/>
    <w:rsid w:val="008A2B53"/>
    <w:rsid w:val="008A2FCA"/>
    <w:rsid w:val="008A3302"/>
    <w:rsid w:val="008A354A"/>
    <w:rsid w:val="008A3959"/>
    <w:rsid w:val="008A4886"/>
    <w:rsid w:val="008A4BE9"/>
    <w:rsid w:val="008A4CBE"/>
    <w:rsid w:val="008A5976"/>
    <w:rsid w:val="008A5B93"/>
    <w:rsid w:val="008A5EB0"/>
    <w:rsid w:val="008A6950"/>
    <w:rsid w:val="008A79C2"/>
    <w:rsid w:val="008B090B"/>
    <w:rsid w:val="008B0F53"/>
    <w:rsid w:val="008B10C0"/>
    <w:rsid w:val="008B5592"/>
    <w:rsid w:val="008B57AA"/>
    <w:rsid w:val="008B5AE6"/>
    <w:rsid w:val="008B60AD"/>
    <w:rsid w:val="008B693E"/>
    <w:rsid w:val="008B6B43"/>
    <w:rsid w:val="008B705B"/>
    <w:rsid w:val="008B7257"/>
    <w:rsid w:val="008B75F1"/>
    <w:rsid w:val="008C017F"/>
    <w:rsid w:val="008C07DF"/>
    <w:rsid w:val="008C0921"/>
    <w:rsid w:val="008C1C7C"/>
    <w:rsid w:val="008C221F"/>
    <w:rsid w:val="008C3E4E"/>
    <w:rsid w:val="008C4327"/>
    <w:rsid w:val="008C4C14"/>
    <w:rsid w:val="008C58CA"/>
    <w:rsid w:val="008C5B5D"/>
    <w:rsid w:val="008C62B7"/>
    <w:rsid w:val="008C66B3"/>
    <w:rsid w:val="008C6A18"/>
    <w:rsid w:val="008C6A87"/>
    <w:rsid w:val="008C6EEC"/>
    <w:rsid w:val="008C7167"/>
    <w:rsid w:val="008C7EF2"/>
    <w:rsid w:val="008D0F98"/>
    <w:rsid w:val="008D1883"/>
    <w:rsid w:val="008D267A"/>
    <w:rsid w:val="008D2CE8"/>
    <w:rsid w:val="008D3015"/>
    <w:rsid w:val="008D355F"/>
    <w:rsid w:val="008D463F"/>
    <w:rsid w:val="008D4BEC"/>
    <w:rsid w:val="008D4F88"/>
    <w:rsid w:val="008D56D2"/>
    <w:rsid w:val="008D5FFF"/>
    <w:rsid w:val="008D6527"/>
    <w:rsid w:val="008D7688"/>
    <w:rsid w:val="008D7CD7"/>
    <w:rsid w:val="008E055E"/>
    <w:rsid w:val="008E103E"/>
    <w:rsid w:val="008E28FC"/>
    <w:rsid w:val="008E29E2"/>
    <w:rsid w:val="008E3A8A"/>
    <w:rsid w:val="008E4DA9"/>
    <w:rsid w:val="008E4DAF"/>
    <w:rsid w:val="008E4E75"/>
    <w:rsid w:val="008E5515"/>
    <w:rsid w:val="008E5AFC"/>
    <w:rsid w:val="008E6141"/>
    <w:rsid w:val="008E6155"/>
    <w:rsid w:val="008E7800"/>
    <w:rsid w:val="008F0190"/>
    <w:rsid w:val="008F01EF"/>
    <w:rsid w:val="008F0213"/>
    <w:rsid w:val="008F0A43"/>
    <w:rsid w:val="008F0B25"/>
    <w:rsid w:val="008F30CF"/>
    <w:rsid w:val="008F3F8C"/>
    <w:rsid w:val="008F5900"/>
    <w:rsid w:val="008F5A30"/>
    <w:rsid w:val="008F6018"/>
    <w:rsid w:val="008F68FF"/>
    <w:rsid w:val="008F6F36"/>
    <w:rsid w:val="008F7080"/>
    <w:rsid w:val="009000A3"/>
    <w:rsid w:val="009000C5"/>
    <w:rsid w:val="009000E6"/>
    <w:rsid w:val="00900F2A"/>
    <w:rsid w:val="0090141C"/>
    <w:rsid w:val="0090178F"/>
    <w:rsid w:val="009019E7"/>
    <w:rsid w:val="00901BB1"/>
    <w:rsid w:val="00903A9C"/>
    <w:rsid w:val="0090405C"/>
    <w:rsid w:val="00904276"/>
    <w:rsid w:val="009044D2"/>
    <w:rsid w:val="00904E47"/>
    <w:rsid w:val="00905422"/>
    <w:rsid w:val="00905853"/>
    <w:rsid w:val="00906795"/>
    <w:rsid w:val="00906CA3"/>
    <w:rsid w:val="009071EA"/>
    <w:rsid w:val="00910152"/>
    <w:rsid w:val="0091064B"/>
    <w:rsid w:val="009107DC"/>
    <w:rsid w:val="0091104C"/>
    <w:rsid w:val="009113EF"/>
    <w:rsid w:val="009122FE"/>
    <w:rsid w:val="009126BF"/>
    <w:rsid w:val="00912B3B"/>
    <w:rsid w:val="00912BAB"/>
    <w:rsid w:val="00914240"/>
    <w:rsid w:val="00914775"/>
    <w:rsid w:val="00914E4B"/>
    <w:rsid w:val="00915DE3"/>
    <w:rsid w:val="00916A2F"/>
    <w:rsid w:val="00916BDF"/>
    <w:rsid w:val="00920678"/>
    <w:rsid w:val="00920CAB"/>
    <w:rsid w:val="00920CC5"/>
    <w:rsid w:val="0092107B"/>
    <w:rsid w:val="00921345"/>
    <w:rsid w:val="00921862"/>
    <w:rsid w:val="00921C40"/>
    <w:rsid w:val="0092223F"/>
    <w:rsid w:val="00922AFD"/>
    <w:rsid w:val="00924731"/>
    <w:rsid w:val="00924963"/>
    <w:rsid w:val="00930E1C"/>
    <w:rsid w:val="00931BD0"/>
    <w:rsid w:val="00932059"/>
    <w:rsid w:val="009326D8"/>
    <w:rsid w:val="00932C70"/>
    <w:rsid w:val="00933C5A"/>
    <w:rsid w:val="00933FBD"/>
    <w:rsid w:val="00934BD6"/>
    <w:rsid w:val="00934E19"/>
    <w:rsid w:val="00935C5C"/>
    <w:rsid w:val="009419F2"/>
    <w:rsid w:val="00941FAC"/>
    <w:rsid w:val="0094277D"/>
    <w:rsid w:val="00943203"/>
    <w:rsid w:val="00943601"/>
    <w:rsid w:val="00945A70"/>
    <w:rsid w:val="009463CA"/>
    <w:rsid w:val="009470EC"/>
    <w:rsid w:val="0094779A"/>
    <w:rsid w:val="0094786B"/>
    <w:rsid w:val="00947968"/>
    <w:rsid w:val="00947D9A"/>
    <w:rsid w:val="00950872"/>
    <w:rsid w:val="00950BE1"/>
    <w:rsid w:val="00951986"/>
    <w:rsid w:val="00951E85"/>
    <w:rsid w:val="00952AB0"/>
    <w:rsid w:val="00952C23"/>
    <w:rsid w:val="00953D0C"/>
    <w:rsid w:val="00955611"/>
    <w:rsid w:val="0095697A"/>
    <w:rsid w:val="00956EBA"/>
    <w:rsid w:val="009575E7"/>
    <w:rsid w:val="00957CA0"/>
    <w:rsid w:val="00960A02"/>
    <w:rsid w:val="00961AAF"/>
    <w:rsid w:val="00962AAB"/>
    <w:rsid w:val="00963131"/>
    <w:rsid w:val="009631A2"/>
    <w:rsid w:val="00963F8C"/>
    <w:rsid w:val="009643B1"/>
    <w:rsid w:val="009651D4"/>
    <w:rsid w:val="00965330"/>
    <w:rsid w:val="00965503"/>
    <w:rsid w:val="00965617"/>
    <w:rsid w:val="009658CB"/>
    <w:rsid w:val="00966010"/>
    <w:rsid w:val="009665C7"/>
    <w:rsid w:val="0096670A"/>
    <w:rsid w:val="00966F76"/>
    <w:rsid w:val="00967D82"/>
    <w:rsid w:val="00967EC0"/>
    <w:rsid w:val="00970096"/>
    <w:rsid w:val="00970581"/>
    <w:rsid w:val="00971473"/>
    <w:rsid w:val="00971545"/>
    <w:rsid w:val="0097222C"/>
    <w:rsid w:val="00972E33"/>
    <w:rsid w:val="009733F8"/>
    <w:rsid w:val="009737A0"/>
    <w:rsid w:val="00973948"/>
    <w:rsid w:val="00974965"/>
    <w:rsid w:val="00974CE0"/>
    <w:rsid w:val="00975C2A"/>
    <w:rsid w:val="0098086A"/>
    <w:rsid w:val="00980B39"/>
    <w:rsid w:val="00982C08"/>
    <w:rsid w:val="009837F7"/>
    <w:rsid w:val="009853B6"/>
    <w:rsid w:val="00986D0F"/>
    <w:rsid w:val="00987B17"/>
    <w:rsid w:val="009900FB"/>
    <w:rsid w:val="00993213"/>
    <w:rsid w:val="00993ADC"/>
    <w:rsid w:val="00993E9A"/>
    <w:rsid w:val="009945FA"/>
    <w:rsid w:val="00995031"/>
    <w:rsid w:val="009951A2"/>
    <w:rsid w:val="009968E5"/>
    <w:rsid w:val="00996E13"/>
    <w:rsid w:val="009A0202"/>
    <w:rsid w:val="009A0649"/>
    <w:rsid w:val="009A0DC4"/>
    <w:rsid w:val="009A10C3"/>
    <w:rsid w:val="009A1B8F"/>
    <w:rsid w:val="009A2452"/>
    <w:rsid w:val="009A2643"/>
    <w:rsid w:val="009A3581"/>
    <w:rsid w:val="009A3CB9"/>
    <w:rsid w:val="009A474B"/>
    <w:rsid w:val="009A589E"/>
    <w:rsid w:val="009A66CE"/>
    <w:rsid w:val="009A6847"/>
    <w:rsid w:val="009A6C9F"/>
    <w:rsid w:val="009A6E39"/>
    <w:rsid w:val="009A71ED"/>
    <w:rsid w:val="009A74CE"/>
    <w:rsid w:val="009A7A37"/>
    <w:rsid w:val="009A7FE9"/>
    <w:rsid w:val="009B04FE"/>
    <w:rsid w:val="009B18B2"/>
    <w:rsid w:val="009B2129"/>
    <w:rsid w:val="009B37CD"/>
    <w:rsid w:val="009B3CEE"/>
    <w:rsid w:val="009B3F79"/>
    <w:rsid w:val="009B50B0"/>
    <w:rsid w:val="009B542E"/>
    <w:rsid w:val="009B547C"/>
    <w:rsid w:val="009B5845"/>
    <w:rsid w:val="009B5916"/>
    <w:rsid w:val="009B64AA"/>
    <w:rsid w:val="009B6511"/>
    <w:rsid w:val="009B7613"/>
    <w:rsid w:val="009B779C"/>
    <w:rsid w:val="009C017E"/>
    <w:rsid w:val="009C1777"/>
    <w:rsid w:val="009C1FD2"/>
    <w:rsid w:val="009C2392"/>
    <w:rsid w:val="009C2620"/>
    <w:rsid w:val="009C360B"/>
    <w:rsid w:val="009C379C"/>
    <w:rsid w:val="009C4E17"/>
    <w:rsid w:val="009C59D8"/>
    <w:rsid w:val="009C5DDE"/>
    <w:rsid w:val="009C67CE"/>
    <w:rsid w:val="009C75DB"/>
    <w:rsid w:val="009D0800"/>
    <w:rsid w:val="009D0E4C"/>
    <w:rsid w:val="009D11C2"/>
    <w:rsid w:val="009D1AD6"/>
    <w:rsid w:val="009D214F"/>
    <w:rsid w:val="009D563D"/>
    <w:rsid w:val="009D59B3"/>
    <w:rsid w:val="009D6100"/>
    <w:rsid w:val="009D680D"/>
    <w:rsid w:val="009D702E"/>
    <w:rsid w:val="009E04D0"/>
    <w:rsid w:val="009E05F8"/>
    <w:rsid w:val="009E0697"/>
    <w:rsid w:val="009E0D70"/>
    <w:rsid w:val="009E1350"/>
    <w:rsid w:val="009E1601"/>
    <w:rsid w:val="009E1C41"/>
    <w:rsid w:val="009E34CF"/>
    <w:rsid w:val="009E3DF0"/>
    <w:rsid w:val="009E410E"/>
    <w:rsid w:val="009E4214"/>
    <w:rsid w:val="009E494A"/>
    <w:rsid w:val="009E49C6"/>
    <w:rsid w:val="009E5046"/>
    <w:rsid w:val="009E515B"/>
    <w:rsid w:val="009E522E"/>
    <w:rsid w:val="009E5E12"/>
    <w:rsid w:val="009E60C4"/>
    <w:rsid w:val="009E70DE"/>
    <w:rsid w:val="009F0B84"/>
    <w:rsid w:val="009F3F09"/>
    <w:rsid w:val="009F44EF"/>
    <w:rsid w:val="009F5B3A"/>
    <w:rsid w:val="009F5C28"/>
    <w:rsid w:val="009F5D3B"/>
    <w:rsid w:val="009F612F"/>
    <w:rsid w:val="009F65FD"/>
    <w:rsid w:val="009F67D7"/>
    <w:rsid w:val="009F790B"/>
    <w:rsid w:val="00A00EC2"/>
    <w:rsid w:val="00A018F1"/>
    <w:rsid w:val="00A01EF1"/>
    <w:rsid w:val="00A02663"/>
    <w:rsid w:val="00A02883"/>
    <w:rsid w:val="00A02A94"/>
    <w:rsid w:val="00A02B1A"/>
    <w:rsid w:val="00A03100"/>
    <w:rsid w:val="00A03864"/>
    <w:rsid w:val="00A04212"/>
    <w:rsid w:val="00A0441D"/>
    <w:rsid w:val="00A05013"/>
    <w:rsid w:val="00A055E1"/>
    <w:rsid w:val="00A05DE3"/>
    <w:rsid w:val="00A06742"/>
    <w:rsid w:val="00A10B6D"/>
    <w:rsid w:val="00A126C7"/>
    <w:rsid w:val="00A13933"/>
    <w:rsid w:val="00A152DF"/>
    <w:rsid w:val="00A15DD5"/>
    <w:rsid w:val="00A15F6E"/>
    <w:rsid w:val="00A1601D"/>
    <w:rsid w:val="00A1621F"/>
    <w:rsid w:val="00A17133"/>
    <w:rsid w:val="00A172C1"/>
    <w:rsid w:val="00A174FE"/>
    <w:rsid w:val="00A175E4"/>
    <w:rsid w:val="00A176BF"/>
    <w:rsid w:val="00A17AD4"/>
    <w:rsid w:val="00A17D5B"/>
    <w:rsid w:val="00A202DA"/>
    <w:rsid w:val="00A216DD"/>
    <w:rsid w:val="00A2254E"/>
    <w:rsid w:val="00A2386D"/>
    <w:rsid w:val="00A23B32"/>
    <w:rsid w:val="00A250D4"/>
    <w:rsid w:val="00A251FB"/>
    <w:rsid w:val="00A27223"/>
    <w:rsid w:val="00A2724E"/>
    <w:rsid w:val="00A2758E"/>
    <w:rsid w:val="00A27635"/>
    <w:rsid w:val="00A27F5D"/>
    <w:rsid w:val="00A30FDC"/>
    <w:rsid w:val="00A30FEC"/>
    <w:rsid w:val="00A3196F"/>
    <w:rsid w:val="00A323A5"/>
    <w:rsid w:val="00A32E7A"/>
    <w:rsid w:val="00A338AD"/>
    <w:rsid w:val="00A34A34"/>
    <w:rsid w:val="00A35673"/>
    <w:rsid w:val="00A35CE0"/>
    <w:rsid w:val="00A3608C"/>
    <w:rsid w:val="00A3682A"/>
    <w:rsid w:val="00A370F7"/>
    <w:rsid w:val="00A41445"/>
    <w:rsid w:val="00A41524"/>
    <w:rsid w:val="00A4267F"/>
    <w:rsid w:val="00A426A0"/>
    <w:rsid w:val="00A43020"/>
    <w:rsid w:val="00A43797"/>
    <w:rsid w:val="00A43F2E"/>
    <w:rsid w:val="00A44599"/>
    <w:rsid w:val="00A44E14"/>
    <w:rsid w:val="00A44F3B"/>
    <w:rsid w:val="00A4539C"/>
    <w:rsid w:val="00A455D4"/>
    <w:rsid w:val="00A45A0E"/>
    <w:rsid w:val="00A45F1A"/>
    <w:rsid w:val="00A46B09"/>
    <w:rsid w:val="00A476A1"/>
    <w:rsid w:val="00A47E50"/>
    <w:rsid w:val="00A50598"/>
    <w:rsid w:val="00A50913"/>
    <w:rsid w:val="00A50A2C"/>
    <w:rsid w:val="00A51438"/>
    <w:rsid w:val="00A51F94"/>
    <w:rsid w:val="00A52F45"/>
    <w:rsid w:val="00A53784"/>
    <w:rsid w:val="00A560F6"/>
    <w:rsid w:val="00A56600"/>
    <w:rsid w:val="00A57DD7"/>
    <w:rsid w:val="00A6027B"/>
    <w:rsid w:val="00A60B00"/>
    <w:rsid w:val="00A60C56"/>
    <w:rsid w:val="00A60FAF"/>
    <w:rsid w:val="00A61339"/>
    <w:rsid w:val="00A614A6"/>
    <w:rsid w:val="00A615A4"/>
    <w:rsid w:val="00A622E6"/>
    <w:rsid w:val="00A6231C"/>
    <w:rsid w:val="00A623D0"/>
    <w:rsid w:val="00A625E9"/>
    <w:rsid w:val="00A631FA"/>
    <w:rsid w:val="00A6397C"/>
    <w:rsid w:val="00A6505E"/>
    <w:rsid w:val="00A65379"/>
    <w:rsid w:val="00A65BC4"/>
    <w:rsid w:val="00A67452"/>
    <w:rsid w:val="00A70351"/>
    <w:rsid w:val="00A705D4"/>
    <w:rsid w:val="00A70738"/>
    <w:rsid w:val="00A70773"/>
    <w:rsid w:val="00A71A2F"/>
    <w:rsid w:val="00A7302E"/>
    <w:rsid w:val="00A731D0"/>
    <w:rsid w:val="00A73EBF"/>
    <w:rsid w:val="00A74625"/>
    <w:rsid w:val="00A748C0"/>
    <w:rsid w:val="00A74CD3"/>
    <w:rsid w:val="00A75E18"/>
    <w:rsid w:val="00A76AB5"/>
    <w:rsid w:val="00A77E03"/>
    <w:rsid w:val="00A8097C"/>
    <w:rsid w:val="00A80AAB"/>
    <w:rsid w:val="00A81B83"/>
    <w:rsid w:val="00A82802"/>
    <w:rsid w:val="00A82E93"/>
    <w:rsid w:val="00A840E9"/>
    <w:rsid w:val="00A84E10"/>
    <w:rsid w:val="00A8588D"/>
    <w:rsid w:val="00A85917"/>
    <w:rsid w:val="00A85F9E"/>
    <w:rsid w:val="00A8685F"/>
    <w:rsid w:val="00A8741C"/>
    <w:rsid w:val="00A87562"/>
    <w:rsid w:val="00A87D7B"/>
    <w:rsid w:val="00A90804"/>
    <w:rsid w:val="00A90910"/>
    <w:rsid w:val="00A92FF5"/>
    <w:rsid w:val="00A93705"/>
    <w:rsid w:val="00A93E73"/>
    <w:rsid w:val="00A94257"/>
    <w:rsid w:val="00A947C1"/>
    <w:rsid w:val="00A94EE6"/>
    <w:rsid w:val="00A9514B"/>
    <w:rsid w:val="00A9554C"/>
    <w:rsid w:val="00A96BEB"/>
    <w:rsid w:val="00A97553"/>
    <w:rsid w:val="00AA05BA"/>
    <w:rsid w:val="00AA305B"/>
    <w:rsid w:val="00AA34B1"/>
    <w:rsid w:val="00AA483B"/>
    <w:rsid w:val="00AA49BF"/>
    <w:rsid w:val="00AA579C"/>
    <w:rsid w:val="00AA5A31"/>
    <w:rsid w:val="00AA5C73"/>
    <w:rsid w:val="00AA6987"/>
    <w:rsid w:val="00AA7920"/>
    <w:rsid w:val="00AB07AC"/>
    <w:rsid w:val="00AB1641"/>
    <w:rsid w:val="00AB2365"/>
    <w:rsid w:val="00AB3735"/>
    <w:rsid w:val="00AB37C9"/>
    <w:rsid w:val="00AB3F84"/>
    <w:rsid w:val="00AB4FB2"/>
    <w:rsid w:val="00AB5508"/>
    <w:rsid w:val="00AB59C7"/>
    <w:rsid w:val="00AB5D5D"/>
    <w:rsid w:val="00AB6F73"/>
    <w:rsid w:val="00AC1294"/>
    <w:rsid w:val="00AC15DE"/>
    <w:rsid w:val="00AC16C7"/>
    <w:rsid w:val="00AC2FB9"/>
    <w:rsid w:val="00AC31CD"/>
    <w:rsid w:val="00AC38B1"/>
    <w:rsid w:val="00AC3A61"/>
    <w:rsid w:val="00AC3CEB"/>
    <w:rsid w:val="00AC43BF"/>
    <w:rsid w:val="00AC4895"/>
    <w:rsid w:val="00AC5237"/>
    <w:rsid w:val="00AC54F2"/>
    <w:rsid w:val="00AC5F9E"/>
    <w:rsid w:val="00AC602D"/>
    <w:rsid w:val="00AC64AE"/>
    <w:rsid w:val="00AC6978"/>
    <w:rsid w:val="00AC6985"/>
    <w:rsid w:val="00AC71AD"/>
    <w:rsid w:val="00AC7C24"/>
    <w:rsid w:val="00AD00B8"/>
    <w:rsid w:val="00AD0AE4"/>
    <w:rsid w:val="00AD0EB2"/>
    <w:rsid w:val="00AD0F41"/>
    <w:rsid w:val="00AD1DBD"/>
    <w:rsid w:val="00AD2321"/>
    <w:rsid w:val="00AD367B"/>
    <w:rsid w:val="00AD3777"/>
    <w:rsid w:val="00AD38D6"/>
    <w:rsid w:val="00AD3A57"/>
    <w:rsid w:val="00AD44A3"/>
    <w:rsid w:val="00AD45FF"/>
    <w:rsid w:val="00AD4939"/>
    <w:rsid w:val="00AD6054"/>
    <w:rsid w:val="00AD64BE"/>
    <w:rsid w:val="00AD69E8"/>
    <w:rsid w:val="00AD6B72"/>
    <w:rsid w:val="00AE03CA"/>
    <w:rsid w:val="00AE072F"/>
    <w:rsid w:val="00AE15FC"/>
    <w:rsid w:val="00AE1DCD"/>
    <w:rsid w:val="00AE2CC6"/>
    <w:rsid w:val="00AE2E50"/>
    <w:rsid w:val="00AE324C"/>
    <w:rsid w:val="00AE472B"/>
    <w:rsid w:val="00AE4991"/>
    <w:rsid w:val="00AE4CE9"/>
    <w:rsid w:val="00AE4E13"/>
    <w:rsid w:val="00AE5C3A"/>
    <w:rsid w:val="00AE6515"/>
    <w:rsid w:val="00AE6B0C"/>
    <w:rsid w:val="00AE76F5"/>
    <w:rsid w:val="00AF090F"/>
    <w:rsid w:val="00AF0BB5"/>
    <w:rsid w:val="00AF2E91"/>
    <w:rsid w:val="00AF3D20"/>
    <w:rsid w:val="00AF3E29"/>
    <w:rsid w:val="00AF4419"/>
    <w:rsid w:val="00AF5867"/>
    <w:rsid w:val="00AF70B6"/>
    <w:rsid w:val="00B00216"/>
    <w:rsid w:val="00B0085B"/>
    <w:rsid w:val="00B01144"/>
    <w:rsid w:val="00B011BE"/>
    <w:rsid w:val="00B02337"/>
    <w:rsid w:val="00B02CAF"/>
    <w:rsid w:val="00B03585"/>
    <w:rsid w:val="00B03A3C"/>
    <w:rsid w:val="00B0459B"/>
    <w:rsid w:val="00B047BD"/>
    <w:rsid w:val="00B05316"/>
    <w:rsid w:val="00B1176B"/>
    <w:rsid w:val="00B121EF"/>
    <w:rsid w:val="00B12703"/>
    <w:rsid w:val="00B13064"/>
    <w:rsid w:val="00B1521C"/>
    <w:rsid w:val="00B15587"/>
    <w:rsid w:val="00B15EFF"/>
    <w:rsid w:val="00B175E9"/>
    <w:rsid w:val="00B207C6"/>
    <w:rsid w:val="00B209BA"/>
    <w:rsid w:val="00B20B75"/>
    <w:rsid w:val="00B21022"/>
    <w:rsid w:val="00B2138F"/>
    <w:rsid w:val="00B220CD"/>
    <w:rsid w:val="00B22A17"/>
    <w:rsid w:val="00B23FD8"/>
    <w:rsid w:val="00B24E5A"/>
    <w:rsid w:val="00B259A6"/>
    <w:rsid w:val="00B2613E"/>
    <w:rsid w:val="00B264B8"/>
    <w:rsid w:val="00B279EA"/>
    <w:rsid w:val="00B27C83"/>
    <w:rsid w:val="00B3031A"/>
    <w:rsid w:val="00B30660"/>
    <w:rsid w:val="00B3071D"/>
    <w:rsid w:val="00B3084E"/>
    <w:rsid w:val="00B3102F"/>
    <w:rsid w:val="00B33666"/>
    <w:rsid w:val="00B33823"/>
    <w:rsid w:val="00B34607"/>
    <w:rsid w:val="00B34A86"/>
    <w:rsid w:val="00B34B40"/>
    <w:rsid w:val="00B3558E"/>
    <w:rsid w:val="00B3629B"/>
    <w:rsid w:val="00B36C95"/>
    <w:rsid w:val="00B36D35"/>
    <w:rsid w:val="00B37412"/>
    <w:rsid w:val="00B40F32"/>
    <w:rsid w:val="00B42000"/>
    <w:rsid w:val="00B42585"/>
    <w:rsid w:val="00B42A5B"/>
    <w:rsid w:val="00B43683"/>
    <w:rsid w:val="00B44772"/>
    <w:rsid w:val="00B45480"/>
    <w:rsid w:val="00B4590B"/>
    <w:rsid w:val="00B46E92"/>
    <w:rsid w:val="00B477A8"/>
    <w:rsid w:val="00B47CD9"/>
    <w:rsid w:val="00B50160"/>
    <w:rsid w:val="00B505C3"/>
    <w:rsid w:val="00B50759"/>
    <w:rsid w:val="00B52169"/>
    <w:rsid w:val="00B52436"/>
    <w:rsid w:val="00B527A4"/>
    <w:rsid w:val="00B527ED"/>
    <w:rsid w:val="00B52A1B"/>
    <w:rsid w:val="00B53A2A"/>
    <w:rsid w:val="00B55FE8"/>
    <w:rsid w:val="00B5737C"/>
    <w:rsid w:val="00B57590"/>
    <w:rsid w:val="00B577B0"/>
    <w:rsid w:val="00B577F8"/>
    <w:rsid w:val="00B579DB"/>
    <w:rsid w:val="00B60A62"/>
    <w:rsid w:val="00B60CE5"/>
    <w:rsid w:val="00B61EC2"/>
    <w:rsid w:val="00B61F59"/>
    <w:rsid w:val="00B620AD"/>
    <w:rsid w:val="00B62B8B"/>
    <w:rsid w:val="00B639BA"/>
    <w:rsid w:val="00B6507A"/>
    <w:rsid w:val="00B65AED"/>
    <w:rsid w:val="00B65E47"/>
    <w:rsid w:val="00B66027"/>
    <w:rsid w:val="00B660A8"/>
    <w:rsid w:val="00B66DD7"/>
    <w:rsid w:val="00B70429"/>
    <w:rsid w:val="00B709A5"/>
    <w:rsid w:val="00B70B17"/>
    <w:rsid w:val="00B70F94"/>
    <w:rsid w:val="00B7238A"/>
    <w:rsid w:val="00B732DF"/>
    <w:rsid w:val="00B73C1A"/>
    <w:rsid w:val="00B73E22"/>
    <w:rsid w:val="00B73F48"/>
    <w:rsid w:val="00B74434"/>
    <w:rsid w:val="00B74AA5"/>
    <w:rsid w:val="00B7519A"/>
    <w:rsid w:val="00B75B6A"/>
    <w:rsid w:val="00B76456"/>
    <w:rsid w:val="00B76B0C"/>
    <w:rsid w:val="00B77A78"/>
    <w:rsid w:val="00B80102"/>
    <w:rsid w:val="00B80856"/>
    <w:rsid w:val="00B80DFD"/>
    <w:rsid w:val="00B81FC4"/>
    <w:rsid w:val="00B83BF1"/>
    <w:rsid w:val="00B842D4"/>
    <w:rsid w:val="00B845BC"/>
    <w:rsid w:val="00B848F0"/>
    <w:rsid w:val="00B85B6B"/>
    <w:rsid w:val="00B85DA0"/>
    <w:rsid w:val="00B85E01"/>
    <w:rsid w:val="00B85F53"/>
    <w:rsid w:val="00B862F0"/>
    <w:rsid w:val="00B866AF"/>
    <w:rsid w:val="00B8682E"/>
    <w:rsid w:val="00B8756B"/>
    <w:rsid w:val="00B87F8D"/>
    <w:rsid w:val="00B91156"/>
    <w:rsid w:val="00B911A0"/>
    <w:rsid w:val="00B91F0F"/>
    <w:rsid w:val="00B925AD"/>
    <w:rsid w:val="00B92E0D"/>
    <w:rsid w:val="00B92F8D"/>
    <w:rsid w:val="00B930CF"/>
    <w:rsid w:val="00B936E6"/>
    <w:rsid w:val="00B93EBC"/>
    <w:rsid w:val="00B93EFF"/>
    <w:rsid w:val="00B94387"/>
    <w:rsid w:val="00B94E90"/>
    <w:rsid w:val="00B952E9"/>
    <w:rsid w:val="00B95FD5"/>
    <w:rsid w:val="00B9644E"/>
    <w:rsid w:val="00B9672A"/>
    <w:rsid w:val="00B9778F"/>
    <w:rsid w:val="00B97AE0"/>
    <w:rsid w:val="00BA0FED"/>
    <w:rsid w:val="00BA2ED9"/>
    <w:rsid w:val="00BA30FB"/>
    <w:rsid w:val="00BA3139"/>
    <w:rsid w:val="00BA3342"/>
    <w:rsid w:val="00BA3ABD"/>
    <w:rsid w:val="00BA3D2A"/>
    <w:rsid w:val="00BA4EEB"/>
    <w:rsid w:val="00BA55F6"/>
    <w:rsid w:val="00BA5A19"/>
    <w:rsid w:val="00BA5C63"/>
    <w:rsid w:val="00BA636A"/>
    <w:rsid w:val="00BA6D44"/>
    <w:rsid w:val="00BA7E8C"/>
    <w:rsid w:val="00BB036E"/>
    <w:rsid w:val="00BB07DA"/>
    <w:rsid w:val="00BB168B"/>
    <w:rsid w:val="00BB20B7"/>
    <w:rsid w:val="00BB2498"/>
    <w:rsid w:val="00BB34C1"/>
    <w:rsid w:val="00BB479F"/>
    <w:rsid w:val="00BB54FB"/>
    <w:rsid w:val="00BB6D11"/>
    <w:rsid w:val="00BB7518"/>
    <w:rsid w:val="00BB7C43"/>
    <w:rsid w:val="00BC11FD"/>
    <w:rsid w:val="00BC175B"/>
    <w:rsid w:val="00BC28A5"/>
    <w:rsid w:val="00BC2CEC"/>
    <w:rsid w:val="00BC2E9C"/>
    <w:rsid w:val="00BC426C"/>
    <w:rsid w:val="00BC68BE"/>
    <w:rsid w:val="00BC7509"/>
    <w:rsid w:val="00BC77CD"/>
    <w:rsid w:val="00BD065A"/>
    <w:rsid w:val="00BD153F"/>
    <w:rsid w:val="00BD15F0"/>
    <w:rsid w:val="00BD1C80"/>
    <w:rsid w:val="00BD2078"/>
    <w:rsid w:val="00BD36DC"/>
    <w:rsid w:val="00BD39EF"/>
    <w:rsid w:val="00BD404A"/>
    <w:rsid w:val="00BD42C0"/>
    <w:rsid w:val="00BD52FF"/>
    <w:rsid w:val="00BD543C"/>
    <w:rsid w:val="00BD603C"/>
    <w:rsid w:val="00BD67F4"/>
    <w:rsid w:val="00BD70CB"/>
    <w:rsid w:val="00BD74D5"/>
    <w:rsid w:val="00BE0349"/>
    <w:rsid w:val="00BE05B4"/>
    <w:rsid w:val="00BE09CB"/>
    <w:rsid w:val="00BE0E20"/>
    <w:rsid w:val="00BE1E88"/>
    <w:rsid w:val="00BE2445"/>
    <w:rsid w:val="00BE287D"/>
    <w:rsid w:val="00BE2FB1"/>
    <w:rsid w:val="00BE36F8"/>
    <w:rsid w:val="00BE42A1"/>
    <w:rsid w:val="00BE4885"/>
    <w:rsid w:val="00BE6BF1"/>
    <w:rsid w:val="00BE749A"/>
    <w:rsid w:val="00BE75BB"/>
    <w:rsid w:val="00BF0D86"/>
    <w:rsid w:val="00BF10B7"/>
    <w:rsid w:val="00BF1197"/>
    <w:rsid w:val="00BF1811"/>
    <w:rsid w:val="00BF359F"/>
    <w:rsid w:val="00BF36C3"/>
    <w:rsid w:val="00BF38FB"/>
    <w:rsid w:val="00BF4702"/>
    <w:rsid w:val="00BF6C5E"/>
    <w:rsid w:val="00BF7369"/>
    <w:rsid w:val="00C0010E"/>
    <w:rsid w:val="00C0021E"/>
    <w:rsid w:val="00C004BD"/>
    <w:rsid w:val="00C00EB1"/>
    <w:rsid w:val="00C0133B"/>
    <w:rsid w:val="00C0142B"/>
    <w:rsid w:val="00C032E1"/>
    <w:rsid w:val="00C0488F"/>
    <w:rsid w:val="00C0496A"/>
    <w:rsid w:val="00C04A6B"/>
    <w:rsid w:val="00C0565A"/>
    <w:rsid w:val="00C05AB2"/>
    <w:rsid w:val="00C071B6"/>
    <w:rsid w:val="00C0739E"/>
    <w:rsid w:val="00C07806"/>
    <w:rsid w:val="00C10CED"/>
    <w:rsid w:val="00C110B2"/>
    <w:rsid w:val="00C1113C"/>
    <w:rsid w:val="00C11304"/>
    <w:rsid w:val="00C114E7"/>
    <w:rsid w:val="00C12510"/>
    <w:rsid w:val="00C136D6"/>
    <w:rsid w:val="00C13F8C"/>
    <w:rsid w:val="00C14027"/>
    <w:rsid w:val="00C14D6E"/>
    <w:rsid w:val="00C14DB5"/>
    <w:rsid w:val="00C15286"/>
    <w:rsid w:val="00C156A5"/>
    <w:rsid w:val="00C15D05"/>
    <w:rsid w:val="00C166C2"/>
    <w:rsid w:val="00C16AB0"/>
    <w:rsid w:val="00C1744F"/>
    <w:rsid w:val="00C21DB3"/>
    <w:rsid w:val="00C21E9D"/>
    <w:rsid w:val="00C2261F"/>
    <w:rsid w:val="00C23211"/>
    <w:rsid w:val="00C23639"/>
    <w:rsid w:val="00C23C48"/>
    <w:rsid w:val="00C24422"/>
    <w:rsid w:val="00C24890"/>
    <w:rsid w:val="00C255BF"/>
    <w:rsid w:val="00C25849"/>
    <w:rsid w:val="00C25C14"/>
    <w:rsid w:val="00C27623"/>
    <w:rsid w:val="00C2780C"/>
    <w:rsid w:val="00C27A5F"/>
    <w:rsid w:val="00C27B47"/>
    <w:rsid w:val="00C300A7"/>
    <w:rsid w:val="00C3073B"/>
    <w:rsid w:val="00C31E0D"/>
    <w:rsid w:val="00C32CA5"/>
    <w:rsid w:val="00C33317"/>
    <w:rsid w:val="00C33F54"/>
    <w:rsid w:val="00C34062"/>
    <w:rsid w:val="00C346C9"/>
    <w:rsid w:val="00C3573D"/>
    <w:rsid w:val="00C35C88"/>
    <w:rsid w:val="00C36FAB"/>
    <w:rsid w:val="00C3773C"/>
    <w:rsid w:val="00C37E3F"/>
    <w:rsid w:val="00C405F5"/>
    <w:rsid w:val="00C41940"/>
    <w:rsid w:val="00C41B21"/>
    <w:rsid w:val="00C42547"/>
    <w:rsid w:val="00C42AAC"/>
    <w:rsid w:val="00C42F24"/>
    <w:rsid w:val="00C43D26"/>
    <w:rsid w:val="00C4407C"/>
    <w:rsid w:val="00C449E7"/>
    <w:rsid w:val="00C44E0B"/>
    <w:rsid w:val="00C465DC"/>
    <w:rsid w:val="00C465F1"/>
    <w:rsid w:val="00C46896"/>
    <w:rsid w:val="00C52D09"/>
    <w:rsid w:val="00C5387F"/>
    <w:rsid w:val="00C5403E"/>
    <w:rsid w:val="00C54055"/>
    <w:rsid w:val="00C54369"/>
    <w:rsid w:val="00C54454"/>
    <w:rsid w:val="00C5465E"/>
    <w:rsid w:val="00C54A6B"/>
    <w:rsid w:val="00C54C76"/>
    <w:rsid w:val="00C555C4"/>
    <w:rsid w:val="00C5650F"/>
    <w:rsid w:val="00C567D4"/>
    <w:rsid w:val="00C573D1"/>
    <w:rsid w:val="00C60681"/>
    <w:rsid w:val="00C61CB0"/>
    <w:rsid w:val="00C62898"/>
    <w:rsid w:val="00C63647"/>
    <w:rsid w:val="00C63B13"/>
    <w:rsid w:val="00C644E9"/>
    <w:rsid w:val="00C64D12"/>
    <w:rsid w:val="00C6667B"/>
    <w:rsid w:val="00C66C9B"/>
    <w:rsid w:val="00C66FB1"/>
    <w:rsid w:val="00C70C1C"/>
    <w:rsid w:val="00C70DA4"/>
    <w:rsid w:val="00C70E41"/>
    <w:rsid w:val="00C70F0E"/>
    <w:rsid w:val="00C74D25"/>
    <w:rsid w:val="00C7567A"/>
    <w:rsid w:val="00C7573E"/>
    <w:rsid w:val="00C76007"/>
    <w:rsid w:val="00C76243"/>
    <w:rsid w:val="00C7625F"/>
    <w:rsid w:val="00C7651F"/>
    <w:rsid w:val="00C766CD"/>
    <w:rsid w:val="00C76767"/>
    <w:rsid w:val="00C772BD"/>
    <w:rsid w:val="00C7742C"/>
    <w:rsid w:val="00C8144D"/>
    <w:rsid w:val="00C81914"/>
    <w:rsid w:val="00C81953"/>
    <w:rsid w:val="00C81CC9"/>
    <w:rsid w:val="00C81FA3"/>
    <w:rsid w:val="00C836E0"/>
    <w:rsid w:val="00C8388B"/>
    <w:rsid w:val="00C84EFA"/>
    <w:rsid w:val="00C85B68"/>
    <w:rsid w:val="00C865EB"/>
    <w:rsid w:val="00C905CC"/>
    <w:rsid w:val="00C90915"/>
    <w:rsid w:val="00C917E9"/>
    <w:rsid w:val="00C92791"/>
    <w:rsid w:val="00C92BB3"/>
    <w:rsid w:val="00C92BEF"/>
    <w:rsid w:val="00C93F39"/>
    <w:rsid w:val="00C940B9"/>
    <w:rsid w:val="00C96076"/>
    <w:rsid w:val="00C97590"/>
    <w:rsid w:val="00C97B23"/>
    <w:rsid w:val="00C97EE7"/>
    <w:rsid w:val="00CA114B"/>
    <w:rsid w:val="00CA23A4"/>
    <w:rsid w:val="00CA250A"/>
    <w:rsid w:val="00CA2CE6"/>
    <w:rsid w:val="00CA481F"/>
    <w:rsid w:val="00CA4927"/>
    <w:rsid w:val="00CA4A54"/>
    <w:rsid w:val="00CA4F25"/>
    <w:rsid w:val="00CA5530"/>
    <w:rsid w:val="00CA57E1"/>
    <w:rsid w:val="00CA5DE8"/>
    <w:rsid w:val="00CA5EBA"/>
    <w:rsid w:val="00CA604D"/>
    <w:rsid w:val="00CA7456"/>
    <w:rsid w:val="00CA74F7"/>
    <w:rsid w:val="00CB134C"/>
    <w:rsid w:val="00CB208D"/>
    <w:rsid w:val="00CB31BC"/>
    <w:rsid w:val="00CB3395"/>
    <w:rsid w:val="00CB3416"/>
    <w:rsid w:val="00CB5439"/>
    <w:rsid w:val="00CB5D91"/>
    <w:rsid w:val="00CB5E2F"/>
    <w:rsid w:val="00CB60C1"/>
    <w:rsid w:val="00CB795C"/>
    <w:rsid w:val="00CB7CAE"/>
    <w:rsid w:val="00CB7DEF"/>
    <w:rsid w:val="00CB7F97"/>
    <w:rsid w:val="00CC05E5"/>
    <w:rsid w:val="00CC12DE"/>
    <w:rsid w:val="00CC3906"/>
    <w:rsid w:val="00CC3AC7"/>
    <w:rsid w:val="00CC3D32"/>
    <w:rsid w:val="00CC4F84"/>
    <w:rsid w:val="00CC5E01"/>
    <w:rsid w:val="00CC5E20"/>
    <w:rsid w:val="00CC677C"/>
    <w:rsid w:val="00CC6E9F"/>
    <w:rsid w:val="00CD01DB"/>
    <w:rsid w:val="00CD0865"/>
    <w:rsid w:val="00CD1807"/>
    <w:rsid w:val="00CD18D7"/>
    <w:rsid w:val="00CD1A8B"/>
    <w:rsid w:val="00CD1B84"/>
    <w:rsid w:val="00CD2103"/>
    <w:rsid w:val="00CD2338"/>
    <w:rsid w:val="00CD26D7"/>
    <w:rsid w:val="00CD2744"/>
    <w:rsid w:val="00CD39A3"/>
    <w:rsid w:val="00CD4161"/>
    <w:rsid w:val="00CD4B76"/>
    <w:rsid w:val="00CD4BAA"/>
    <w:rsid w:val="00CD5094"/>
    <w:rsid w:val="00CD5504"/>
    <w:rsid w:val="00CD6E39"/>
    <w:rsid w:val="00CD7D78"/>
    <w:rsid w:val="00CE0302"/>
    <w:rsid w:val="00CE0A71"/>
    <w:rsid w:val="00CE10D1"/>
    <w:rsid w:val="00CE27F7"/>
    <w:rsid w:val="00CE2BC1"/>
    <w:rsid w:val="00CE2EBF"/>
    <w:rsid w:val="00CE4076"/>
    <w:rsid w:val="00CE441C"/>
    <w:rsid w:val="00CE45B7"/>
    <w:rsid w:val="00CE4B7B"/>
    <w:rsid w:val="00CE53A5"/>
    <w:rsid w:val="00CF07E4"/>
    <w:rsid w:val="00CF0D29"/>
    <w:rsid w:val="00CF15BD"/>
    <w:rsid w:val="00CF1AFA"/>
    <w:rsid w:val="00CF1B17"/>
    <w:rsid w:val="00CF2D94"/>
    <w:rsid w:val="00CF31B5"/>
    <w:rsid w:val="00CF48C1"/>
    <w:rsid w:val="00CF5238"/>
    <w:rsid w:val="00CF5D51"/>
    <w:rsid w:val="00CF6C90"/>
    <w:rsid w:val="00CF6D3D"/>
    <w:rsid w:val="00CF7F3F"/>
    <w:rsid w:val="00D005C9"/>
    <w:rsid w:val="00D00BEE"/>
    <w:rsid w:val="00D01141"/>
    <w:rsid w:val="00D02C2B"/>
    <w:rsid w:val="00D030C0"/>
    <w:rsid w:val="00D03503"/>
    <w:rsid w:val="00D03A21"/>
    <w:rsid w:val="00D06606"/>
    <w:rsid w:val="00D06C89"/>
    <w:rsid w:val="00D06D04"/>
    <w:rsid w:val="00D104A1"/>
    <w:rsid w:val="00D1054C"/>
    <w:rsid w:val="00D11673"/>
    <w:rsid w:val="00D11E0A"/>
    <w:rsid w:val="00D122D6"/>
    <w:rsid w:val="00D122E3"/>
    <w:rsid w:val="00D12686"/>
    <w:rsid w:val="00D1328F"/>
    <w:rsid w:val="00D13416"/>
    <w:rsid w:val="00D14C42"/>
    <w:rsid w:val="00D150CB"/>
    <w:rsid w:val="00D1574E"/>
    <w:rsid w:val="00D15806"/>
    <w:rsid w:val="00D16145"/>
    <w:rsid w:val="00D171FF"/>
    <w:rsid w:val="00D1746D"/>
    <w:rsid w:val="00D1756F"/>
    <w:rsid w:val="00D17B2F"/>
    <w:rsid w:val="00D17E06"/>
    <w:rsid w:val="00D20B8C"/>
    <w:rsid w:val="00D21C1F"/>
    <w:rsid w:val="00D2304F"/>
    <w:rsid w:val="00D23E42"/>
    <w:rsid w:val="00D24240"/>
    <w:rsid w:val="00D2450F"/>
    <w:rsid w:val="00D259F3"/>
    <w:rsid w:val="00D25DD0"/>
    <w:rsid w:val="00D25FC3"/>
    <w:rsid w:val="00D260FB"/>
    <w:rsid w:val="00D2661B"/>
    <w:rsid w:val="00D26EA1"/>
    <w:rsid w:val="00D273DD"/>
    <w:rsid w:val="00D30151"/>
    <w:rsid w:val="00D30933"/>
    <w:rsid w:val="00D30A41"/>
    <w:rsid w:val="00D3123A"/>
    <w:rsid w:val="00D33254"/>
    <w:rsid w:val="00D33A4D"/>
    <w:rsid w:val="00D33E04"/>
    <w:rsid w:val="00D34A38"/>
    <w:rsid w:val="00D34F6C"/>
    <w:rsid w:val="00D35C17"/>
    <w:rsid w:val="00D361E1"/>
    <w:rsid w:val="00D36528"/>
    <w:rsid w:val="00D377E6"/>
    <w:rsid w:val="00D4115C"/>
    <w:rsid w:val="00D43352"/>
    <w:rsid w:val="00D44654"/>
    <w:rsid w:val="00D4490A"/>
    <w:rsid w:val="00D45257"/>
    <w:rsid w:val="00D45498"/>
    <w:rsid w:val="00D45FD1"/>
    <w:rsid w:val="00D473C6"/>
    <w:rsid w:val="00D5031D"/>
    <w:rsid w:val="00D504D7"/>
    <w:rsid w:val="00D516F4"/>
    <w:rsid w:val="00D51FEF"/>
    <w:rsid w:val="00D537FB"/>
    <w:rsid w:val="00D53DF0"/>
    <w:rsid w:val="00D53E86"/>
    <w:rsid w:val="00D553EC"/>
    <w:rsid w:val="00D568B5"/>
    <w:rsid w:val="00D56F3A"/>
    <w:rsid w:val="00D57E0B"/>
    <w:rsid w:val="00D601C6"/>
    <w:rsid w:val="00D60329"/>
    <w:rsid w:val="00D604C5"/>
    <w:rsid w:val="00D613CD"/>
    <w:rsid w:val="00D61D94"/>
    <w:rsid w:val="00D62376"/>
    <w:rsid w:val="00D625F0"/>
    <w:rsid w:val="00D63376"/>
    <w:rsid w:val="00D64A5F"/>
    <w:rsid w:val="00D65321"/>
    <w:rsid w:val="00D65FD7"/>
    <w:rsid w:val="00D66FBF"/>
    <w:rsid w:val="00D67345"/>
    <w:rsid w:val="00D701E4"/>
    <w:rsid w:val="00D7083F"/>
    <w:rsid w:val="00D72449"/>
    <w:rsid w:val="00D73B63"/>
    <w:rsid w:val="00D75037"/>
    <w:rsid w:val="00D75219"/>
    <w:rsid w:val="00D7571B"/>
    <w:rsid w:val="00D75E17"/>
    <w:rsid w:val="00D764BE"/>
    <w:rsid w:val="00D7765E"/>
    <w:rsid w:val="00D80350"/>
    <w:rsid w:val="00D811EA"/>
    <w:rsid w:val="00D816A9"/>
    <w:rsid w:val="00D818C6"/>
    <w:rsid w:val="00D81A1B"/>
    <w:rsid w:val="00D8204E"/>
    <w:rsid w:val="00D82AEB"/>
    <w:rsid w:val="00D82F1E"/>
    <w:rsid w:val="00D83D30"/>
    <w:rsid w:val="00D83E69"/>
    <w:rsid w:val="00D8527C"/>
    <w:rsid w:val="00D8665B"/>
    <w:rsid w:val="00D86BAE"/>
    <w:rsid w:val="00D86F75"/>
    <w:rsid w:val="00D87AD4"/>
    <w:rsid w:val="00D90B5A"/>
    <w:rsid w:val="00D90EB0"/>
    <w:rsid w:val="00D929DE"/>
    <w:rsid w:val="00D92A09"/>
    <w:rsid w:val="00D92F72"/>
    <w:rsid w:val="00D9470A"/>
    <w:rsid w:val="00D94C1E"/>
    <w:rsid w:val="00D9521D"/>
    <w:rsid w:val="00D952FF"/>
    <w:rsid w:val="00D95C1A"/>
    <w:rsid w:val="00D95C70"/>
    <w:rsid w:val="00D95F24"/>
    <w:rsid w:val="00D97A9E"/>
    <w:rsid w:val="00D97C11"/>
    <w:rsid w:val="00D97F73"/>
    <w:rsid w:val="00DA04AD"/>
    <w:rsid w:val="00DA092C"/>
    <w:rsid w:val="00DA0C8C"/>
    <w:rsid w:val="00DA0F7A"/>
    <w:rsid w:val="00DA16C2"/>
    <w:rsid w:val="00DA20E9"/>
    <w:rsid w:val="00DA37DB"/>
    <w:rsid w:val="00DA3D61"/>
    <w:rsid w:val="00DA3FBA"/>
    <w:rsid w:val="00DA3FF6"/>
    <w:rsid w:val="00DA42B2"/>
    <w:rsid w:val="00DA4A5A"/>
    <w:rsid w:val="00DA54EE"/>
    <w:rsid w:val="00DA5F62"/>
    <w:rsid w:val="00DA6D52"/>
    <w:rsid w:val="00DB03FA"/>
    <w:rsid w:val="00DB05D2"/>
    <w:rsid w:val="00DB0F04"/>
    <w:rsid w:val="00DB1925"/>
    <w:rsid w:val="00DB265E"/>
    <w:rsid w:val="00DB2903"/>
    <w:rsid w:val="00DB3AA4"/>
    <w:rsid w:val="00DB3EBA"/>
    <w:rsid w:val="00DB44C7"/>
    <w:rsid w:val="00DB490B"/>
    <w:rsid w:val="00DB5386"/>
    <w:rsid w:val="00DB577F"/>
    <w:rsid w:val="00DB7119"/>
    <w:rsid w:val="00DB7314"/>
    <w:rsid w:val="00DB77F1"/>
    <w:rsid w:val="00DB7FEF"/>
    <w:rsid w:val="00DC00CF"/>
    <w:rsid w:val="00DC0BF9"/>
    <w:rsid w:val="00DC0D3A"/>
    <w:rsid w:val="00DC19EF"/>
    <w:rsid w:val="00DC21F4"/>
    <w:rsid w:val="00DC376C"/>
    <w:rsid w:val="00DC470C"/>
    <w:rsid w:val="00DC4B2A"/>
    <w:rsid w:val="00DC52EE"/>
    <w:rsid w:val="00DC60E3"/>
    <w:rsid w:val="00DC6727"/>
    <w:rsid w:val="00DC682C"/>
    <w:rsid w:val="00DC7479"/>
    <w:rsid w:val="00DC7C29"/>
    <w:rsid w:val="00DC7DED"/>
    <w:rsid w:val="00DD0B3D"/>
    <w:rsid w:val="00DD176F"/>
    <w:rsid w:val="00DD1CAF"/>
    <w:rsid w:val="00DD2DF1"/>
    <w:rsid w:val="00DD3187"/>
    <w:rsid w:val="00DD38E0"/>
    <w:rsid w:val="00DD3B1C"/>
    <w:rsid w:val="00DD4375"/>
    <w:rsid w:val="00DD4656"/>
    <w:rsid w:val="00DD4A98"/>
    <w:rsid w:val="00DD56E3"/>
    <w:rsid w:val="00DD5BA9"/>
    <w:rsid w:val="00DD6290"/>
    <w:rsid w:val="00DD63CB"/>
    <w:rsid w:val="00DD6534"/>
    <w:rsid w:val="00DD7BD5"/>
    <w:rsid w:val="00DE04C7"/>
    <w:rsid w:val="00DE069B"/>
    <w:rsid w:val="00DE17A0"/>
    <w:rsid w:val="00DE22E0"/>
    <w:rsid w:val="00DE23B1"/>
    <w:rsid w:val="00DE2568"/>
    <w:rsid w:val="00DE3541"/>
    <w:rsid w:val="00DE3AA8"/>
    <w:rsid w:val="00DE3F9B"/>
    <w:rsid w:val="00DE5838"/>
    <w:rsid w:val="00DE5A5E"/>
    <w:rsid w:val="00DE7D45"/>
    <w:rsid w:val="00DF02B5"/>
    <w:rsid w:val="00DF1B88"/>
    <w:rsid w:val="00DF2002"/>
    <w:rsid w:val="00DF2362"/>
    <w:rsid w:val="00DF298A"/>
    <w:rsid w:val="00DF2AF7"/>
    <w:rsid w:val="00DF2E17"/>
    <w:rsid w:val="00DF3B9E"/>
    <w:rsid w:val="00DF51D3"/>
    <w:rsid w:val="00DF5316"/>
    <w:rsid w:val="00DF5319"/>
    <w:rsid w:val="00DF54C0"/>
    <w:rsid w:val="00DF7C98"/>
    <w:rsid w:val="00DF7E30"/>
    <w:rsid w:val="00E00A33"/>
    <w:rsid w:val="00E00A54"/>
    <w:rsid w:val="00E00B78"/>
    <w:rsid w:val="00E0208A"/>
    <w:rsid w:val="00E03DA8"/>
    <w:rsid w:val="00E04852"/>
    <w:rsid w:val="00E04C5D"/>
    <w:rsid w:val="00E04FC5"/>
    <w:rsid w:val="00E050D1"/>
    <w:rsid w:val="00E05D2F"/>
    <w:rsid w:val="00E06169"/>
    <w:rsid w:val="00E06234"/>
    <w:rsid w:val="00E069B8"/>
    <w:rsid w:val="00E103BB"/>
    <w:rsid w:val="00E10DC1"/>
    <w:rsid w:val="00E113EE"/>
    <w:rsid w:val="00E11B53"/>
    <w:rsid w:val="00E122F7"/>
    <w:rsid w:val="00E13A52"/>
    <w:rsid w:val="00E1434E"/>
    <w:rsid w:val="00E14FA8"/>
    <w:rsid w:val="00E16261"/>
    <w:rsid w:val="00E16D9A"/>
    <w:rsid w:val="00E16F57"/>
    <w:rsid w:val="00E17B4B"/>
    <w:rsid w:val="00E20C0D"/>
    <w:rsid w:val="00E20CD9"/>
    <w:rsid w:val="00E21EA1"/>
    <w:rsid w:val="00E21FE7"/>
    <w:rsid w:val="00E22D5C"/>
    <w:rsid w:val="00E230DC"/>
    <w:rsid w:val="00E23CE5"/>
    <w:rsid w:val="00E25644"/>
    <w:rsid w:val="00E257AD"/>
    <w:rsid w:val="00E269B1"/>
    <w:rsid w:val="00E26CB9"/>
    <w:rsid w:val="00E27A3B"/>
    <w:rsid w:val="00E3097C"/>
    <w:rsid w:val="00E309D8"/>
    <w:rsid w:val="00E3149B"/>
    <w:rsid w:val="00E31DF2"/>
    <w:rsid w:val="00E33533"/>
    <w:rsid w:val="00E33943"/>
    <w:rsid w:val="00E34565"/>
    <w:rsid w:val="00E34910"/>
    <w:rsid w:val="00E34B83"/>
    <w:rsid w:val="00E34C3C"/>
    <w:rsid w:val="00E35164"/>
    <w:rsid w:val="00E35C93"/>
    <w:rsid w:val="00E3653B"/>
    <w:rsid w:val="00E37811"/>
    <w:rsid w:val="00E403AF"/>
    <w:rsid w:val="00E40BDF"/>
    <w:rsid w:val="00E41730"/>
    <w:rsid w:val="00E41961"/>
    <w:rsid w:val="00E41C58"/>
    <w:rsid w:val="00E422A8"/>
    <w:rsid w:val="00E42E86"/>
    <w:rsid w:val="00E43186"/>
    <w:rsid w:val="00E44927"/>
    <w:rsid w:val="00E453B6"/>
    <w:rsid w:val="00E46004"/>
    <w:rsid w:val="00E46B21"/>
    <w:rsid w:val="00E46C03"/>
    <w:rsid w:val="00E522CA"/>
    <w:rsid w:val="00E525E5"/>
    <w:rsid w:val="00E52BB8"/>
    <w:rsid w:val="00E5320C"/>
    <w:rsid w:val="00E540B1"/>
    <w:rsid w:val="00E55A11"/>
    <w:rsid w:val="00E56047"/>
    <w:rsid w:val="00E5604B"/>
    <w:rsid w:val="00E564BB"/>
    <w:rsid w:val="00E570C9"/>
    <w:rsid w:val="00E57214"/>
    <w:rsid w:val="00E5722A"/>
    <w:rsid w:val="00E575EF"/>
    <w:rsid w:val="00E57E80"/>
    <w:rsid w:val="00E57EE5"/>
    <w:rsid w:val="00E60B71"/>
    <w:rsid w:val="00E6175B"/>
    <w:rsid w:val="00E62A2F"/>
    <w:rsid w:val="00E63413"/>
    <w:rsid w:val="00E63466"/>
    <w:rsid w:val="00E6391C"/>
    <w:rsid w:val="00E639D6"/>
    <w:rsid w:val="00E6581F"/>
    <w:rsid w:val="00E65F75"/>
    <w:rsid w:val="00E66C59"/>
    <w:rsid w:val="00E71185"/>
    <w:rsid w:val="00E712B0"/>
    <w:rsid w:val="00E72621"/>
    <w:rsid w:val="00E72FE2"/>
    <w:rsid w:val="00E738B3"/>
    <w:rsid w:val="00E74174"/>
    <w:rsid w:val="00E7537F"/>
    <w:rsid w:val="00E75920"/>
    <w:rsid w:val="00E75A7D"/>
    <w:rsid w:val="00E75EC1"/>
    <w:rsid w:val="00E76471"/>
    <w:rsid w:val="00E768E2"/>
    <w:rsid w:val="00E7728A"/>
    <w:rsid w:val="00E80546"/>
    <w:rsid w:val="00E80A14"/>
    <w:rsid w:val="00E81482"/>
    <w:rsid w:val="00E81BA2"/>
    <w:rsid w:val="00E82270"/>
    <w:rsid w:val="00E824B5"/>
    <w:rsid w:val="00E831FD"/>
    <w:rsid w:val="00E8336A"/>
    <w:rsid w:val="00E83A02"/>
    <w:rsid w:val="00E8437C"/>
    <w:rsid w:val="00E84386"/>
    <w:rsid w:val="00E85086"/>
    <w:rsid w:val="00E854B9"/>
    <w:rsid w:val="00E86B0A"/>
    <w:rsid w:val="00E87A22"/>
    <w:rsid w:val="00E90E3A"/>
    <w:rsid w:val="00E91EBE"/>
    <w:rsid w:val="00E9266A"/>
    <w:rsid w:val="00E93E9E"/>
    <w:rsid w:val="00E93F40"/>
    <w:rsid w:val="00E942AC"/>
    <w:rsid w:val="00E947D1"/>
    <w:rsid w:val="00E9590C"/>
    <w:rsid w:val="00E959AA"/>
    <w:rsid w:val="00E95C3B"/>
    <w:rsid w:val="00E9633F"/>
    <w:rsid w:val="00E9689F"/>
    <w:rsid w:val="00EA0157"/>
    <w:rsid w:val="00EA032C"/>
    <w:rsid w:val="00EA0458"/>
    <w:rsid w:val="00EA12A2"/>
    <w:rsid w:val="00EA174F"/>
    <w:rsid w:val="00EA2FC2"/>
    <w:rsid w:val="00EA3612"/>
    <w:rsid w:val="00EA6378"/>
    <w:rsid w:val="00EA717A"/>
    <w:rsid w:val="00EA74C5"/>
    <w:rsid w:val="00EB0C23"/>
    <w:rsid w:val="00EB0D36"/>
    <w:rsid w:val="00EB1CC1"/>
    <w:rsid w:val="00EB220B"/>
    <w:rsid w:val="00EB2B53"/>
    <w:rsid w:val="00EB2B72"/>
    <w:rsid w:val="00EB320C"/>
    <w:rsid w:val="00EB324B"/>
    <w:rsid w:val="00EB339F"/>
    <w:rsid w:val="00EB3A9E"/>
    <w:rsid w:val="00EB47DB"/>
    <w:rsid w:val="00EB5793"/>
    <w:rsid w:val="00EB590B"/>
    <w:rsid w:val="00EB5C78"/>
    <w:rsid w:val="00EB616B"/>
    <w:rsid w:val="00EB61FD"/>
    <w:rsid w:val="00EB70CE"/>
    <w:rsid w:val="00EB77ED"/>
    <w:rsid w:val="00EB7FF6"/>
    <w:rsid w:val="00EC0CF1"/>
    <w:rsid w:val="00EC127E"/>
    <w:rsid w:val="00EC1660"/>
    <w:rsid w:val="00EC1784"/>
    <w:rsid w:val="00EC1E1C"/>
    <w:rsid w:val="00EC2256"/>
    <w:rsid w:val="00EC384C"/>
    <w:rsid w:val="00EC3D77"/>
    <w:rsid w:val="00EC3F5A"/>
    <w:rsid w:val="00EC571F"/>
    <w:rsid w:val="00EC5CB4"/>
    <w:rsid w:val="00EC660E"/>
    <w:rsid w:val="00EC6D38"/>
    <w:rsid w:val="00EC72E0"/>
    <w:rsid w:val="00EC73AB"/>
    <w:rsid w:val="00EC790F"/>
    <w:rsid w:val="00EC7BAF"/>
    <w:rsid w:val="00ED018C"/>
    <w:rsid w:val="00ED0B22"/>
    <w:rsid w:val="00ED1103"/>
    <w:rsid w:val="00ED1106"/>
    <w:rsid w:val="00ED1A85"/>
    <w:rsid w:val="00ED1BCE"/>
    <w:rsid w:val="00ED1FE7"/>
    <w:rsid w:val="00ED374A"/>
    <w:rsid w:val="00ED3B73"/>
    <w:rsid w:val="00ED3CFA"/>
    <w:rsid w:val="00ED4285"/>
    <w:rsid w:val="00ED440F"/>
    <w:rsid w:val="00ED4A07"/>
    <w:rsid w:val="00ED5F41"/>
    <w:rsid w:val="00ED64E9"/>
    <w:rsid w:val="00ED6E5C"/>
    <w:rsid w:val="00ED6F78"/>
    <w:rsid w:val="00ED7CC7"/>
    <w:rsid w:val="00EE04E6"/>
    <w:rsid w:val="00EE07C9"/>
    <w:rsid w:val="00EE0B73"/>
    <w:rsid w:val="00EE1656"/>
    <w:rsid w:val="00EE19F9"/>
    <w:rsid w:val="00EE26DD"/>
    <w:rsid w:val="00EE2AE0"/>
    <w:rsid w:val="00EE2F75"/>
    <w:rsid w:val="00EE3F69"/>
    <w:rsid w:val="00EE412D"/>
    <w:rsid w:val="00EE4C82"/>
    <w:rsid w:val="00EE5634"/>
    <w:rsid w:val="00EE5C7C"/>
    <w:rsid w:val="00EE61AA"/>
    <w:rsid w:val="00EE67AB"/>
    <w:rsid w:val="00EE776F"/>
    <w:rsid w:val="00EE7890"/>
    <w:rsid w:val="00EE7FFD"/>
    <w:rsid w:val="00EF038B"/>
    <w:rsid w:val="00EF0C06"/>
    <w:rsid w:val="00EF1F55"/>
    <w:rsid w:val="00EF293E"/>
    <w:rsid w:val="00EF3189"/>
    <w:rsid w:val="00EF322B"/>
    <w:rsid w:val="00EF45F6"/>
    <w:rsid w:val="00EF4A37"/>
    <w:rsid w:val="00EF5709"/>
    <w:rsid w:val="00EF59C2"/>
    <w:rsid w:val="00EF5DCD"/>
    <w:rsid w:val="00EF6D55"/>
    <w:rsid w:val="00EF7264"/>
    <w:rsid w:val="00EF7DBB"/>
    <w:rsid w:val="00F004B9"/>
    <w:rsid w:val="00F005FA"/>
    <w:rsid w:val="00F00965"/>
    <w:rsid w:val="00F00E44"/>
    <w:rsid w:val="00F01404"/>
    <w:rsid w:val="00F0179C"/>
    <w:rsid w:val="00F01A13"/>
    <w:rsid w:val="00F01D53"/>
    <w:rsid w:val="00F02D6A"/>
    <w:rsid w:val="00F032D8"/>
    <w:rsid w:val="00F03D08"/>
    <w:rsid w:val="00F042E9"/>
    <w:rsid w:val="00F045F5"/>
    <w:rsid w:val="00F04D83"/>
    <w:rsid w:val="00F0612D"/>
    <w:rsid w:val="00F06167"/>
    <w:rsid w:val="00F06229"/>
    <w:rsid w:val="00F0650B"/>
    <w:rsid w:val="00F06ABF"/>
    <w:rsid w:val="00F06BC9"/>
    <w:rsid w:val="00F06C89"/>
    <w:rsid w:val="00F07560"/>
    <w:rsid w:val="00F07C4F"/>
    <w:rsid w:val="00F10E6E"/>
    <w:rsid w:val="00F115F5"/>
    <w:rsid w:val="00F1160D"/>
    <w:rsid w:val="00F11916"/>
    <w:rsid w:val="00F11D13"/>
    <w:rsid w:val="00F121A8"/>
    <w:rsid w:val="00F1284A"/>
    <w:rsid w:val="00F12AF8"/>
    <w:rsid w:val="00F13040"/>
    <w:rsid w:val="00F139FA"/>
    <w:rsid w:val="00F13BA4"/>
    <w:rsid w:val="00F14897"/>
    <w:rsid w:val="00F14E8B"/>
    <w:rsid w:val="00F15356"/>
    <w:rsid w:val="00F15E48"/>
    <w:rsid w:val="00F20755"/>
    <w:rsid w:val="00F20E42"/>
    <w:rsid w:val="00F20ECA"/>
    <w:rsid w:val="00F20ED5"/>
    <w:rsid w:val="00F20F31"/>
    <w:rsid w:val="00F21565"/>
    <w:rsid w:val="00F21783"/>
    <w:rsid w:val="00F2295A"/>
    <w:rsid w:val="00F23008"/>
    <w:rsid w:val="00F23411"/>
    <w:rsid w:val="00F23F90"/>
    <w:rsid w:val="00F24174"/>
    <w:rsid w:val="00F24188"/>
    <w:rsid w:val="00F24654"/>
    <w:rsid w:val="00F24FCD"/>
    <w:rsid w:val="00F25B16"/>
    <w:rsid w:val="00F2603A"/>
    <w:rsid w:val="00F264A5"/>
    <w:rsid w:val="00F26D61"/>
    <w:rsid w:val="00F273AA"/>
    <w:rsid w:val="00F27ABD"/>
    <w:rsid w:val="00F27ED2"/>
    <w:rsid w:val="00F305D7"/>
    <w:rsid w:val="00F309C7"/>
    <w:rsid w:val="00F30A88"/>
    <w:rsid w:val="00F31366"/>
    <w:rsid w:val="00F31463"/>
    <w:rsid w:val="00F3150E"/>
    <w:rsid w:val="00F31CC4"/>
    <w:rsid w:val="00F322B8"/>
    <w:rsid w:val="00F32620"/>
    <w:rsid w:val="00F3292A"/>
    <w:rsid w:val="00F3329E"/>
    <w:rsid w:val="00F35595"/>
    <w:rsid w:val="00F35FCF"/>
    <w:rsid w:val="00F361C1"/>
    <w:rsid w:val="00F361CF"/>
    <w:rsid w:val="00F37467"/>
    <w:rsid w:val="00F37AAE"/>
    <w:rsid w:val="00F37C8C"/>
    <w:rsid w:val="00F40311"/>
    <w:rsid w:val="00F41BA5"/>
    <w:rsid w:val="00F41D51"/>
    <w:rsid w:val="00F4268E"/>
    <w:rsid w:val="00F42F9C"/>
    <w:rsid w:val="00F432C3"/>
    <w:rsid w:val="00F44011"/>
    <w:rsid w:val="00F4556E"/>
    <w:rsid w:val="00F478D4"/>
    <w:rsid w:val="00F50146"/>
    <w:rsid w:val="00F5116C"/>
    <w:rsid w:val="00F51785"/>
    <w:rsid w:val="00F51C7C"/>
    <w:rsid w:val="00F52592"/>
    <w:rsid w:val="00F52A12"/>
    <w:rsid w:val="00F53377"/>
    <w:rsid w:val="00F53DE8"/>
    <w:rsid w:val="00F54199"/>
    <w:rsid w:val="00F54CD3"/>
    <w:rsid w:val="00F55698"/>
    <w:rsid w:val="00F56135"/>
    <w:rsid w:val="00F565B5"/>
    <w:rsid w:val="00F5684C"/>
    <w:rsid w:val="00F568C7"/>
    <w:rsid w:val="00F56CD1"/>
    <w:rsid w:val="00F571F1"/>
    <w:rsid w:val="00F5749A"/>
    <w:rsid w:val="00F574A6"/>
    <w:rsid w:val="00F57A58"/>
    <w:rsid w:val="00F60A6E"/>
    <w:rsid w:val="00F62EAB"/>
    <w:rsid w:val="00F635AD"/>
    <w:rsid w:val="00F63878"/>
    <w:rsid w:val="00F64AA6"/>
    <w:rsid w:val="00F6520A"/>
    <w:rsid w:val="00F653D9"/>
    <w:rsid w:val="00F656D3"/>
    <w:rsid w:val="00F65DFD"/>
    <w:rsid w:val="00F6638B"/>
    <w:rsid w:val="00F67450"/>
    <w:rsid w:val="00F70B0D"/>
    <w:rsid w:val="00F7174B"/>
    <w:rsid w:val="00F71C10"/>
    <w:rsid w:val="00F73126"/>
    <w:rsid w:val="00F733B8"/>
    <w:rsid w:val="00F73C0C"/>
    <w:rsid w:val="00F73CA5"/>
    <w:rsid w:val="00F74C82"/>
    <w:rsid w:val="00F75341"/>
    <w:rsid w:val="00F756F9"/>
    <w:rsid w:val="00F764CA"/>
    <w:rsid w:val="00F767EE"/>
    <w:rsid w:val="00F77A6A"/>
    <w:rsid w:val="00F77BB1"/>
    <w:rsid w:val="00F805AD"/>
    <w:rsid w:val="00F807CE"/>
    <w:rsid w:val="00F81844"/>
    <w:rsid w:val="00F81C13"/>
    <w:rsid w:val="00F823FC"/>
    <w:rsid w:val="00F82457"/>
    <w:rsid w:val="00F82897"/>
    <w:rsid w:val="00F83C62"/>
    <w:rsid w:val="00F840B6"/>
    <w:rsid w:val="00F84CD5"/>
    <w:rsid w:val="00F85C1A"/>
    <w:rsid w:val="00F86318"/>
    <w:rsid w:val="00F8708E"/>
    <w:rsid w:val="00F87246"/>
    <w:rsid w:val="00F873B7"/>
    <w:rsid w:val="00F87B5B"/>
    <w:rsid w:val="00F907E8"/>
    <w:rsid w:val="00F90FF2"/>
    <w:rsid w:val="00F9135D"/>
    <w:rsid w:val="00F91800"/>
    <w:rsid w:val="00F91A78"/>
    <w:rsid w:val="00F91D69"/>
    <w:rsid w:val="00F92524"/>
    <w:rsid w:val="00F92CF6"/>
    <w:rsid w:val="00F939A2"/>
    <w:rsid w:val="00F93F73"/>
    <w:rsid w:val="00F941BA"/>
    <w:rsid w:val="00F94578"/>
    <w:rsid w:val="00F952D1"/>
    <w:rsid w:val="00F9601C"/>
    <w:rsid w:val="00F96A7A"/>
    <w:rsid w:val="00F96F3A"/>
    <w:rsid w:val="00F9705B"/>
    <w:rsid w:val="00F97CFC"/>
    <w:rsid w:val="00F97F1A"/>
    <w:rsid w:val="00FA1A24"/>
    <w:rsid w:val="00FA288A"/>
    <w:rsid w:val="00FA2964"/>
    <w:rsid w:val="00FA303C"/>
    <w:rsid w:val="00FA497E"/>
    <w:rsid w:val="00FA5D11"/>
    <w:rsid w:val="00FA67DF"/>
    <w:rsid w:val="00FA6AE8"/>
    <w:rsid w:val="00FA72F9"/>
    <w:rsid w:val="00FA7402"/>
    <w:rsid w:val="00FB077A"/>
    <w:rsid w:val="00FB0E47"/>
    <w:rsid w:val="00FB1ECA"/>
    <w:rsid w:val="00FB22C8"/>
    <w:rsid w:val="00FB272C"/>
    <w:rsid w:val="00FB379B"/>
    <w:rsid w:val="00FB3F3B"/>
    <w:rsid w:val="00FB4589"/>
    <w:rsid w:val="00FB4990"/>
    <w:rsid w:val="00FB4DD6"/>
    <w:rsid w:val="00FB54A9"/>
    <w:rsid w:val="00FB54B1"/>
    <w:rsid w:val="00FB620E"/>
    <w:rsid w:val="00FB639B"/>
    <w:rsid w:val="00FB6E7F"/>
    <w:rsid w:val="00FC0E35"/>
    <w:rsid w:val="00FC1365"/>
    <w:rsid w:val="00FC2364"/>
    <w:rsid w:val="00FC23FC"/>
    <w:rsid w:val="00FC2EA9"/>
    <w:rsid w:val="00FC34DD"/>
    <w:rsid w:val="00FC3739"/>
    <w:rsid w:val="00FC3A68"/>
    <w:rsid w:val="00FC3CAC"/>
    <w:rsid w:val="00FC3EB4"/>
    <w:rsid w:val="00FC4844"/>
    <w:rsid w:val="00FC4CE5"/>
    <w:rsid w:val="00FC5905"/>
    <w:rsid w:val="00FC5DF4"/>
    <w:rsid w:val="00FC65A4"/>
    <w:rsid w:val="00FC6C3A"/>
    <w:rsid w:val="00FC6FAC"/>
    <w:rsid w:val="00FC785F"/>
    <w:rsid w:val="00FC7CD3"/>
    <w:rsid w:val="00FD006C"/>
    <w:rsid w:val="00FD08EF"/>
    <w:rsid w:val="00FD0904"/>
    <w:rsid w:val="00FD0DE7"/>
    <w:rsid w:val="00FD14E0"/>
    <w:rsid w:val="00FD1B74"/>
    <w:rsid w:val="00FD1CA1"/>
    <w:rsid w:val="00FD231C"/>
    <w:rsid w:val="00FD2337"/>
    <w:rsid w:val="00FD2770"/>
    <w:rsid w:val="00FD41D4"/>
    <w:rsid w:val="00FD4819"/>
    <w:rsid w:val="00FD4FC2"/>
    <w:rsid w:val="00FD5191"/>
    <w:rsid w:val="00FD53D1"/>
    <w:rsid w:val="00FD5E1F"/>
    <w:rsid w:val="00FD5FA5"/>
    <w:rsid w:val="00FD648E"/>
    <w:rsid w:val="00FD6B0E"/>
    <w:rsid w:val="00FE15D2"/>
    <w:rsid w:val="00FE29BA"/>
    <w:rsid w:val="00FE3327"/>
    <w:rsid w:val="00FE39F7"/>
    <w:rsid w:val="00FE3D02"/>
    <w:rsid w:val="00FE46AD"/>
    <w:rsid w:val="00FE4B12"/>
    <w:rsid w:val="00FE4E96"/>
    <w:rsid w:val="00FE54FA"/>
    <w:rsid w:val="00FE6317"/>
    <w:rsid w:val="00FE6A8C"/>
    <w:rsid w:val="00FE6CF6"/>
    <w:rsid w:val="00FE7204"/>
    <w:rsid w:val="00FE72B1"/>
    <w:rsid w:val="00FE79AA"/>
    <w:rsid w:val="00FF2709"/>
    <w:rsid w:val="00FF2B8F"/>
    <w:rsid w:val="00FF2D6E"/>
    <w:rsid w:val="00FF33F5"/>
    <w:rsid w:val="00FF3889"/>
    <w:rsid w:val="00FF3AFD"/>
    <w:rsid w:val="00FF47B9"/>
    <w:rsid w:val="00FF4DD7"/>
    <w:rsid w:val="00FF4EDA"/>
    <w:rsid w:val="00FF54B9"/>
    <w:rsid w:val="00FF5B75"/>
    <w:rsid w:val="00FF5B8D"/>
    <w:rsid w:val="00FF6284"/>
    <w:rsid w:val="00FF643C"/>
    <w:rsid w:val="00FF7BF1"/>
    <w:rsid w:val="4479A698"/>
    <w:rsid w:val="44EA3948"/>
    <w:rsid w:val="65676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3BEA3"/>
  <w15:docId w15:val="{C78D6667-E394-4664-B95C-3B1AB922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character" w:customStyle="1" w:styleId="proofreader-typo">
    <w:name w:val="proofreader-typo"/>
    <w:basedOn w:val="DefaultParagraphFont"/>
    <w:rsid w:val="00C92BB3"/>
  </w:style>
  <w:style w:type="character" w:customStyle="1" w:styleId="commented">
    <w:name w:val="commented"/>
    <w:basedOn w:val="DefaultParagraphFont"/>
    <w:rsid w:val="004F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206258675">
      <w:bodyDiv w:val="1"/>
      <w:marLeft w:val="0"/>
      <w:marRight w:val="0"/>
      <w:marTop w:val="0"/>
      <w:marBottom w:val="0"/>
      <w:divBdr>
        <w:top w:val="none" w:sz="0" w:space="0" w:color="auto"/>
        <w:left w:val="none" w:sz="0" w:space="0" w:color="auto"/>
        <w:bottom w:val="none" w:sz="0" w:space="0" w:color="auto"/>
        <w:right w:val="none" w:sz="0" w:space="0" w:color="auto"/>
      </w:divBdr>
    </w:div>
    <w:div w:id="231933215">
      <w:bodyDiv w:val="1"/>
      <w:marLeft w:val="0"/>
      <w:marRight w:val="0"/>
      <w:marTop w:val="0"/>
      <w:marBottom w:val="0"/>
      <w:divBdr>
        <w:top w:val="none" w:sz="0" w:space="0" w:color="auto"/>
        <w:left w:val="none" w:sz="0" w:space="0" w:color="auto"/>
        <w:bottom w:val="none" w:sz="0" w:space="0" w:color="auto"/>
        <w:right w:val="none" w:sz="0" w:space="0" w:color="auto"/>
      </w:divBdr>
    </w:div>
    <w:div w:id="236593529">
      <w:bodyDiv w:val="1"/>
      <w:marLeft w:val="0"/>
      <w:marRight w:val="0"/>
      <w:marTop w:val="0"/>
      <w:marBottom w:val="0"/>
      <w:divBdr>
        <w:top w:val="none" w:sz="0" w:space="0" w:color="auto"/>
        <w:left w:val="none" w:sz="0" w:space="0" w:color="auto"/>
        <w:bottom w:val="none" w:sz="0" w:space="0" w:color="auto"/>
        <w:right w:val="none" w:sz="0" w:space="0" w:color="auto"/>
      </w:divBdr>
      <w:divsChild>
        <w:div w:id="1620457142">
          <w:marLeft w:val="0"/>
          <w:marRight w:val="0"/>
          <w:marTop w:val="0"/>
          <w:marBottom w:val="0"/>
          <w:divBdr>
            <w:top w:val="none" w:sz="0" w:space="0" w:color="auto"/>
            <w:left w:val="none" w:sz="0" w:space="0" w:color="auto"/>
            <w:bottom w:val="none" w:sz="0" w:space="0" w:color="auto"/>
            <w:right w:val="none" w:sz="0" w:space="0" w:color="auto"/>
          </w:divBdr>
        </w:div>
      </w:divsChild>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016567921">
      <w:bodyDiv w:val="1"/>
      <w:marLeft w:val="0"/>
      <w:marRight w:val="0"/>
      <w:marTop w:val="0"/>
      <w:marBottom w:val="0"/>
      <w:divBdr>
        <w:top w:val="none" w:sz="0" w:space="0" w:color="auto"/>
        <w:left w:val="none" w:sz="0" w:space="0" w:color="auto"/>
        <w:bottom w:val="none" w:sz="0" w:space="0" w:color="auto"/>
        <w:right w:val="none" w:sz="0" w:space="0" w:color="auto"/>
      </w:divBdr>
      <w:divsChild>
        <w:div w:id="1001398554">
          <w:marLeft w:val="0"/>
          <w:marRight w:val="0"/>
          <w:marTop w:val="0"/>
          <w:marBottom w:val="0"/>
          <w:divBdr>
            <w:top w:val="none" w:sz="0" w:space="0" w:color="auto"/>
            <w:left w:val="none" w:sz="0" w:space="0" w:color="auto"/>
            <w:bottom w:val="none" w:sz="0" w:space="0" w:color="auto"/>
            <w:right w:val="none" w:sz="0" w:space="0" w:color="auto"/>
          </w:divBdr>
        </w:div>
      </w:divsChild>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loughrey\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8B05B67A6DF4CAE7455BD35E635D5" ma:contentTypeVersion="4" ma:contentTypeDescription="Create a new document." ma:contentTypeScope="" ma:versionID="b285a84d99b160b388f2b6223aeb86d3">
  <xsd:schema xmlns:xsd="http://www.w3.org/2001/XMLSchema" xmlns:xs="http://www.w3.org/2001/XMLSchema" xmlns:p="http://schemas.microsoft.com/office/2006/metadata/properties" xmlns:ns2="761c2e5f-0b8e-45d8-a7a7-5198d2dd538a" xmlns:ns3="feda394d-01ae-4507-944e-00798349191d" targetNamespace="http://schemas.microsoft.com/office/2006/metadata/properties" ma:root="true" ma:fieldsID="ef1c586957a07cf1f08ef928dcad3006" ns2:_="" ns3:_="">
    <xsd:import namespace="761c2e5f-0b8e-45d8-a7a7-5198d2dd538a"/>
    <xsd:import namespace="feda394d-01ae-4507-944e-0079834919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2e5f-0b8e-45d8-a7a7-5198d2dd5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a394d-01ae-4507-944e-0079834919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AE4DFE7-CFE1-4E52-80FC-43E950FEA5C1}">
  <ds:schemaRefs>
    <ds:schemaRef ds:uri="761c2e5f-0b8e-45d8-a7a7-5198d2dd538a"/>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eda394d-01ae-4507-944e-00798349191d"/>
  </ds:schemaRefs>
</ds:datastoreItem>
</file>

<file path=customXml/itemProps2.xml><?xml version="1.0" encoding="utf-8"?>
<ds:datastoreItem xmlns:ds="http://schemas.openxmlformats.org/officeDocument/2006/customXml" ds:itemID="{59BBE82D-0B62-4AD1-B8D9-E524888EF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2e5f-0b8e-45d8-a7a7-5198d2dd538a"/>
    <ds:schemaRef ds:uri="feda394d-01ae-4507-944e-00798349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7458D-4896-4842-B25B-37CE14A2B95C}">
  <ds:schemaRefs>
    <ds:schemaRef ds:uri="http://schemas.microsoft.com/sharepoint/v3/contenttype/forms"/>
  </ds:schemaRefs>
</ds:datastoreItem>
</file>

<file path=customXml/itemProps4.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5.xml><?xml version="1.0" encoding="utf-8"?>
<ds:datastoreItem xmlns:ds="http://schemas.openxmlformats.org/officeDocument/2006/customXml" ds:itemID="{BB0818A6-C2EC-4432-94DB-08A5855833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20</TotalTime>
  <Pages>10</Pages>
  <Words>1230</Words>
  <Characters>6436</Characters>
  <Application>Microsoft Office Word</Application>
  <DocSecurity>0</DocSecurity>
  <Lines>238</Lines>
  <Paragraphs>117</Paragraphs>
  <ScaleCrop>false</ScaleCrop>
  <Company>Australian Energy Market Commission</Company>
  <LinksUpToDate>false</LinksUpToDate>
  <CharactersWithSpaces>7549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Patrick Loughrey</dc:creator>
  <cp:lastModifiedBy>Antonia Flowers</cp:lastModifiedBy>
  <cp:revision>2</cp:revision>
  <cp:lastPrinted>2016-04-17T05:54:00Z</cp:lastPrinted>
  <dcterms:created xsi:type="dcterms:W3CDTF">2023-02-28T02:51:00Z</dcterms:created>
  <dcterms:modified xsi:type="dcterms:W3CDTF">2023-02-28T02:51:00Z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0x0101000BF8B05B67A6DF4CAE7455BD35E635D5</vt:lpwstr>
  </property>
  <property fmtid="{D5CDD505-2E9C-101B-9397-08002B2CF9AE}" pid="3" name="GrammarlyDocumentId">
    <vt:lpwstr>0dbb2bb82183e2f8c751cec9443c68b3329fd7b2912896eb2b331b1a567a8ecc</vt:lpwstr>
  </property>
</Properties>
</file>