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1303" w14:textId="040C6BE9" w:rsidR="00CF2D94" w:rsidRPr="0008793E" w:rsidRDefault="0008793E" w:rsidP="00627B0D">
      <w:pPr>
        <w:pStyle w:val="AEMCHEADERL1"/>
        <w:outlineLvl w:val="0"/>
        <w:rPr>
          <w:sz w:val="36"/>
          <w:szCs w:val="28"/>
        </w:rPr>
      </w:pPr>
      <w:r w:rsidRPr="0008793E">
        <w:rPr>
          <w:sz w:val="36"/>
          <w:szCs w:val="28"/>
        </w:rPr>
        <w:t>ERC0339: Efficient provision of inertia</w:t>
      </w:r>
    </w:p>
    <w:p w14:paraId="066746E4" w14:textId="77777777" w:rsidR="00CF2D94" w:rsidRPr="0008793E" w:rsidRDefault="005E638A" w:rsidP="00627B0D">
      <w:pPr>
        <w:pStyle w:val="AEMCHeaderL2"/>
        <w:outlineLvl w:val="0"/>
        <w:rPr>
          <w:sz w:val="28"/>
        </w:rPr>
      </w:pPr>
      <w:r w:rsidRPr="0008793E">
        <w:rPr>
          <w:sz w:val="28"/>
          <w:szCs w:val="22"/>
        </w:rPr>
        <w:t>stakeholder feedback template</w:t>
      </w:r>
    </w:p>
    <w:p w14:paraId="4317426A" w14:textId="77777777"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the consultation</w:t>
      </w:r>
      <w:r w:rsidRPr="008C6A18">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6E5BAF14" w14:textId="77777777"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14:paraId="5BE0CF8A" w14:textId="77777777" w:rsidTr="00780BB3">
        <w:tc>
          <w:tcPr>
            <w:tcW w:w="1560" w:type="dxa"/>
          </w:tcPr>
          <w:p w14:paraId="4E58728C" w14:textId="77777777"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14:paraId="322F4E6F"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14:paraId="02F12F54" w14:textId="77777777" w:rsidTr="00780BB3">
        <w:tc>
          <w:tcPr>
            <w:tcW w:w="1560" w:type="dxa"/>
          </w:tcPr>
          <w:p w14:paraId="5A86CB74" w14:textId="77777777"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14:paraId="003817AE"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25ACDD3F" w14:textId="77777777" w:rsidTr="00780BB3">
        <w:tc>
          <w:tcPr>
            <w:tcW w:w="1560" w:type="dxa"/>
          </w:tcPr>
          <w:p w14:paraId="79B15712" w14:textId="77777777" w:rsidR="008C6A18" w:rsidRPr="00780BB3" w:rsidRDefault="000C745C" w:rsidP="000C745C">
            <w:pPr>
              <w:pStyle w:val="AEMCTableCopySubmitterDetails"/>
              <w:rPr>
                <w:rStyle w:val="Hyperlink"/>
                <w:b/>
              </w:rPr>
            </w:pPr>
            <w:r w:rsidRPr="00780BB3">
              <w:rPr>
                <w:rStyle w:val="Hyperlink"/>
                <w:b/>
              </w:rPr>
              <w:t>EMAIL:</w:t>
            </w:r>
          </w:p>
        </w:tc>
        <w:tc>
          <w:tcPr>
            <w:tcW w:w="6361" w:type="dxa"/>
          </w:tcPr>
          <w:p w14:paraId="2366468A"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5A942EA0" w14:textId="77777777" w:rsidTr="00780BB3">
        <w:tc>
          <w:tcPr>
            <w:tcW w:w="1560" w:type="dxa"/>
          </w:tcPr>
          <w:p w14:paraId="73B08DCE" w14:textId="77777777" w:rsidR="008C6A18" w:rsidRPr="00780BB3" w:rsidRDefault="000C745C" w:rsidP="000C745C">
            <w:pPr>
              <w:pStyle w:val="AEMCTableCopySubmitterDetails"/>
              <w:rPr>
                <w:rStyle w:val="Hyperlink"/>
                <w:b/>
              </w:rPr>
            </w:pPr>
            <w:r w:rsidRPr="00780BB3">
              <w:rPr>
                <w:rStyle w:val="Hyperlink"/>
                <w:b/>
              </w:rPr>
              <w:t>PHONE:</w:t>
            </w:r>
          </w:p>
        </w:tc>
        <w:tc>
          <w:tcPr>
            <w:tcW w:w="6361" w:type="dxa"/>
          </w:tcPr>
          <w:p w14:paraId="573D0275"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C114E7" w:rsidRPr="00A85F9E" w14:paraId="727AFACB" w14:textId="77777777" w:rsidTr="00780BB3">
        <w:tc>
          <w:tcPr>
            <w:tcW w:w="1560" w:type="dxa"/>
          </w:tcPr>
          <w:p w14:paraId="01CD8E17" w14:textId="77777777" w:rsidR="00C114E7" w:rsidRPr="00780BB3" w:rsidRDefault="00C114E7" w:rsidP="000C745C">
            <w:pPr>
              <w:pStyle w:val="AEMCTableCopySubmitterDetails"/>
              <w:rPr>
                <w:rStyle w:val="Hyperlink"/>
                <w:b/>
              </w:rPr>
            </w:pPr>
            <w:r>
              <w:rPr>
                <w:rStyle w:val="Hyperlink"/>
                <w:b/>
              </w:rPr>
              <w:t>DATE</w:t>
            </w:r>
          </w:p>
        </w:tc>
        <w:tc>
          <w:tcPr>
            <w:tcW w:w="6361" w:type="dxa"/>
          </w:tcPr>
          <w:p w14:paraId="45D0B34A" w14:textId="77777777" w:rsidR="00C114E7" w:rsidRPr="00785222" w:rsidRDefault="00C114E7" w:rsidP="00785222">
            <w:pPr>
              <w:pStyle w:val="AEMCTableCopySubmitterDetails"/>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2F43794" w14:textId="77777777" w:rsidR="00C114E7" w:rsidRDefault="00C114E7" w:rsidP="00C114E7">
      <w:pPr>
        <w:pStyle w:val="AEMCHeaderL3"/>
        <w:rPr>
          <w:rStyle w:val="Hyperlink"/>
        </w:rPr>
      </w:pPr>
    </w:p>
    <w:p w14:paraId="1E051018"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C114E7" w:rsidRPr="00A85F9E" w14:paraId="7FFF2F03" w14:textId="77777777" w:rsidTr="001926E2">
        <w:tc>
          <w:tcPr>
            <w:tcW w:w="1560" w:type="dxa"/>
          </w:tcPr>
          <w:p w14:paraId="43472EC7" w14:textId="2C3208D5" w:rsidR="00C114E7" w:rsidRPr="005D759E" w:rsidRDefault="00C114E7" w:rsidP="001926E2">
            <w:pPr>
              <w:pStyle w:val="AEMCTableCopySubmitterDetails"/>
              <w:rPr>
                <w:rStyle w:val="Hyperlink"/>
                <w:b/>
              </w:rPr>
            </w:pPr>
            <w:r w:rsidRPr="005D759E">
              <w:rPr>
                <w:rStyle w:val="Hyperlink"/>
                <w:b/>
              </w:rPr>
              <w:t>NAME OF RULE CHANGE:</w:t>
            </w:r>
          </w:p>
        </w:tc>
        <w:tc>
          <w:tcPr>
            <w:tcW w:w="6361" w:type="dxa"/>
          </w:tcPr>
          <w:p w14:paraId="1CDA5BC4" w14:textId="75C65E9D" w:rsidR="00C114E7" w:rsidRPr="005D759E" w:rsidRDefault="005D759E" w:rsidP="001926E2">
            <w:pPr>
              <w:pStyle w:val="AEMCTableCopySubmitterDetails"/>
              <w:rPr>
                <w:rStyle w:val="Hyperlink"/>
                <w:bCs/>
              </w:rPr>
            </w:pPr>
            <w:r w:rsidRPr="005D759E">
              <w:rPr>
                <w:rStyle w:val="Hyperlink"/>
                <w:bCs/>
              </w:rPr>
              <w:t>Efficient provision of inertia</w:t>
            </w:r>
          </w:p>
        </w:tc>
      </w:tr>
      <w:tr w:rsidR="00C114E7" w:rsidRPr="00A85F9E" w14:paraId="5DF2982A" w14:textId="77777777" w:rsidTr="001926E2">
        <w:tc>
          <w:tcPr>
            <w:tcW w:w="1560" w:type="dxa"/>
          </w:tcPr>
          <w:p w14:paraId="7BBB8ADC" w14:textId="77777777" w:rsidR="00C114E7" w:rsidRPr="005D759E" w:rsidRDefault="00C114E7" w:rsidP="001926E2">
            <w:pPr>
              <w:pStyle w:val="AEMCTableCopySubmitterDetails"/>
              <w:rPr>
                <w:rStyle w:val="Hyperlink"/>
                <w:b/>
              </w:rPr>
            </w:pPr>
            <w:r w:rsidRPr="005D759E">
              <w:rPr>
                <w:rStyle w:val="Hyperlink"/>
                <w:b/>
              </w:rPr>
              <w:t>PROJECT CODE:</w:t>
            </w:r>
          </w:p>
        </w:tc>
        <w:tc>
          <w:tcPr>
            <w:tcW w:w="6361" w:type="dxa"/>
          </w:tcPr>
          <w:p w14:paraId="64CB1507" w14:textId="172F3412" w:rsidR="00C114E7" w:rsidRPr="005D759E" w:rsidRDefault="005D759E" w:rsidP="001926E2">
            <w:pPr>
              <w:pStyle w:val="AEMCTableCopySubmitterDetails"/>
              <w:rPr>
                <w:rStyle w:val="Hyperlink"/>
                <w:bCs/>
              </w:rPr>
            </w:pPr>
            <w:r w:rsidRPr="005D759E">
              <w:rPr>
                <w:rStyle w:val="Hyperlink"/>
                <w:bCs/>
              </w:rPr>
              <w:t>ERC0339</w:t>
            </w:r>
          </w:p>
        </w:tc>
      </w:tr>
      <w:tr w:rsidR="00C114E7" w:rsidRPr="00A85F9E" w14:paraId="363A9DEF" w14:textId="77777777" w:rsidTr="001926E2">
        <w:tc>
          <w:tcPr>
            <w:tcW w:w="1560" w:type="dxa"/>
          </w:tcPr>
          <w:p w14:paraId="3EC46F4E" w14:textId="1B90C4DA" w:rsidR="00C114E7" w:rsidRPr="005D759E" w:rsidRDefault="00C114E7" w:rsidP="001926E2">
            <w:pPr>
              <w:pStyle w:val="AEMCTableCopySubmitterDetails"/>
              <w:rPr>
                <w:rStyle w:val="Hyperlink"/>
                <w:b/>
              </w:rPr>
            </w:pPr>
            <w:r w:rsidRPr="005D759E">
              <w:rPr>
                <w:rStyle w:val="Hyperlink"/>
                <w:b/>
              </w:rPr>
              <w:t>PROPONENT:</w:t>
            </w:r>
          </w:p>
        </w:tc>
        <w:tc>
          <w:tcPr>
            <w:tcW w:w="6361" w:type="dxa"/>
          </w:tcPr>
          <w:p w14:paraId="10EEDA55" w14:textId="41CC1A99" w:rsidR="00C114E7" w:rsidRPr="005D759E" w:rsidRDefault="005D759E" w:rsidP="001926E2">
            <w:pPr>
              <w:pStyle w:val="AEMCTableCopySubmitterDetails"/>
              <w:rPr>
                <w:rStyle w:val="Hyperlink"/>
                <w:bCs/>
              </w:rPr>
            </w:pPr>
            <w:r w:rsidRPr="005D759E">
              <w:rPr>
                <w:rStyle w:val="Hyperlink"/>
                <w:bCs/>
              </w:rPr>
              <w:t>Australian Energy Council</w:t>
            </w:r>
          </w:p>
        </w:tc>
      </w:tr>
      <w:tr w:rsidR="00C114E7" w:rsidRPr="00A85F9E" w14:paraId="0694036C" w14:textId="77777777" w:rsidTr="001926E2">
        <w:tc>
          <w:tcPr>
            <w:tcW w:w="1560" w:type="dxa"/>
          </w:tcPr>
          <w:p w14:paraId="01C9B65D" w14:textId="77777777" w:rsidR="00C114E7" w:rsidRPr="005D759E" w:rsidRDefault="00C114E7" w:rsidP="001926E2">
            <w:pPr>
              <w:pStyle w:val="AEMCTableCopySubmitterDetails"/>
              <w:rPr>
                <w:rStyle w:val="Hyperlink"/>
                <w:b/>
              </w:rPr>
            </w:pPr>
            <w:r w:rsidRPr="005D759E">
              <w:rPr>
                <w:rStyle w:val="Hyperlink"/>
                <w:b/>
              </w:rPr>
              <w:t>SUBMISSION DUE DATE:</w:t>
            </w:r>
          </w:p>
        </w:tc>
        <w:tc>
          <w:tcPr>
            <w:tcW w:w="6361" w:type="dxa"/>
          </w:tcPr>
          <w:p w14:paraId="3265CDC6" w14:textId="40BCF8FD" w:rsidR="00C114E7" w:rsidRPr="005D759E" w:rsidRDefault="005D759E" w:rsidP="001926E2">
            <w:pPr>
              <w:pStyle w:val="AEMCTableCopySubmitterDetails"/>
              <w:rPr>
                <w:rStyle w:val="Hyperlink"/>
                <w:bCs/>
              </w:rPr>
            </w:pPr>
            <w:r w:rsidRPr="005D759E">
              <w:rPr>
                <w:rStyle w:val="Hyperlink"/>
                <w:bCs/>
              </w:rPr>
              <w:t>Friday 31 March 2023</w:t>
            </w:r>
          </w:p>
        </w:tc>
      </w:tr>
    </w:tbl>
    <w:p w14:paraId="699A2411" w14:textId="2C93B77A" w:rsidR="00A85F9E" w:rsidRPr="008A4886" w:rsidRDefault="008A4886" w:rsidP="008A4886">
      <w:pPr>
        <w:pStyle w:val="AEMCHeaderL4"/>
        <w:rPr>
          <w:rStyle w:val="Hyperlink"/>
        </w:rPr>
      </w:pPr>
      <w:r w:rsidRPr="008A4886">
        <w:rPr>
          <w:rStyle w:val="Hyperlink"/>
          <w:b/>
        </w:rPr>
        <w:t xml:space="preserve">CHAPTER </w:t>
      </w:r>
      <w:r w:rsidR="005D759E">
        <w:rPr>
          <w:rStyle w:val="Hyperlink"/>
          <w:b/>
        </w:rPr>
        <w:t>1</w:t>
      </w:r>
      <w:r w:rsidRPr="008A4886">
        <w:rPr>
          <w:rStyle w:val="Hyperlink"/>
        </w:rPr>
        <w:t xml:space="preserve"> –</w:t>
      </w:r>
      <w:r w:rsidR="00C114E7">
        <w:rPr>
          <w:rStyle w:val="Hyperlink"/>
        </w:rPr>
        <w:t xml:space="preserve"> </w:t>
      </w:r>
      <w:r w:rsidR="005D759E">
        <w:rPr>
          <w:rStyle w:val="Hyperlink"/>
        </w:rPr>
        <w:t>The context for this rule change request</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609"/>
        <w:gridCol w:w="5312"/>
      </w:tblGrid>
      <w:tr w:rsidR="005876CF" w:rsidRPr="0000465F" w14:paraId="2A90CBA6" w14:textId="77777777" w:rsidTr="00A36884">
        <w:tc>
          <w:tcPr>
            <w:tcW w:w="2609" w:type="dxa"/>
            <w:tcBorders>
              <w:top w:val="single" w:sz="18" w:space="0" w:color="00A8E5" w:themeColor="accent1"/>
              <w:right w:val="single" w:sz="2" w:space="0" w:color="58595B" w:themeColor="accent4"/>
            </w:tcBorders>
            <w:shd w:val="clear" w:color="auto" w:fill="F6F6F6"/>
          </w:tcPr>
          <w:p w14:paraId="5966869A" w14:textId="69D2A3AB" w:rsidR="008A4886" w:rsidRPr="0000465F" w:rsidRDefault="008C284F" w:rsidP="008C284F">
            <w:pPr>
              <w:pStyle w:val="AEMCTableBodyCopy"/>
              <w:rPr>
                <w:rStyle w:val="Hyperlink"/>
              </w:rPr>
            </w:pPr>
            <w:r>
              <w:rPr>
                <w:rStyle w:val="Hyperlink"/>
              </w:rPr>
              <w:t>Comment</w:t>
            </w:r>
            <w:r w:rsidR="00A36884">
              <w:rPr>
                <w:rStyle w:val="Hyperlink"/>
              </w:rPr>
              <w:t>s</w:t>
            </w:r>
          </w:p>
        </w:tc>
        <w:tc>
          <w:tcPr>
            <w:tcW w:w="5312" w:type="dxa"/>
            <w:tcBorders>
              <w:top w:val="single" w:sz="18" w:space="0" w:color="00A8E5" w:themeColor="accent1"/>
              <w:left w:val="single" w:sz="2" w:space="0" w:color="58595B" w:themeColor="accent4"/>
            </w:tcBorders>
          </w:tcPr>
          <w:p w14:paraId="2EED3732" w14:textId="2623D941" w:rsidR="008C284F" w:rsidRPr="00785222" w:rsidRDefault="008C284F" w:rsidP="008C284F">
            <w:pPr>
              <w:pStyle w:val="AEMCTableBodyCopy"/>
              <w:rPr>
                <w:rStyle w:val="Hyperlink"/>
              </w:rPr>
            </w:pPr>
          </w:p>
          <w:p w14:paraId="34517E63" w14:textId="77777777" w:rsidR="008A4886" w:rsidRDefault="008A4886" w:rsidP="005D759E">
            <w:pPr>
              <w:pStyle w:val="AEMCTableBodyCopy"/>
              <w:rPr>
                <w:rStyle w:val="Hyperlink"/>
              </w:rPr>
            </w:pPr>
          </w:p>
          <w:p w14:paraId="4D46A766" w14:textId="3E7547D5" w:rsidR="00A36884" w:rsidRPr="00785222" w:rsidRDefault="00A36884" w:rsidP="005D759E">
            <w:pPr>
              <w:pStyle w:val="AEMCTableBodyCopy"/>
              <w:rPr>
                <w:rStyle w:val="Hyperlink"/>
              </w:rPr>
            </w:pPr>
          </w:p>
        </w:tc>
      </w:tr>
    </w:tbl>
    <w:p w14:paraId="5B04787F" w14:textId="77578986" w:rsidR="00C114E7" w:rsidRPr="008A4886" w:rsidRDefault="00C114E7" w:rsidP="00C114E7">
      <w:pPr>
        <w:pStyle w:val="AEMCHeaderL4"/>
        <w:rPr>
          <w:rStyle w:val="Hyperlink"/>
        </w:rPr>
      </w:pPr>
      <w:r w:rsidRPr="008A4886">
        <w:rPr>
          <w:rStyle w:val="Hyperlink"/>
          <w:b/>
        </w:rPr>
        <w:t xml:space="preserve">CHAPTER </w:t>
      </w:r>
      <w:r w:rsidR="00A36884">
        <w:rPr>
          <w:rStyle w:val="Hyperlink"/>
          <w:b/>
        </w:rPr>
        <w:t>2</w:t>
      </w:r>
      <w:r w:rsidRPr="008A4886">
        <w:rPr>
          <w:rStyle w:val="Hyperlink"/>
        </w:rPr>
        <w:t xml:space="preserve"> </w:t>
      </w:r>
      <w:r w:rsidR="00A36884" w:rsidRPr="008A4886">
        <w:rPr>
          <w:rStyle w:val="Hyperlink"/>
        </w:rPr>
        <w:t xml:space="preserve">– </w:t>
      </w:r>
      <w:r w:rsidR="00A36884">
        <w:rPr>
          <w:rStyle w:val="Hyperlink"/>
        </w:rPr>
        <w:t>PROBLEM definition</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609"/>
        <w:gridCol w:w="5312"/>
      </w:tblGrid>
      <w:tr w:rsidR="008C284F" w:rsidRPr="0000465F" w14:paraId="23DE26E1" w14:textId="77777777" w:rsidTr="00A36884">
        <w:tc>
          <w:tcPr>
            <w:tcW w:w="2609" w:type="dxa"/>
            <w:tcBorders>
              <w:top w:val="single" w:sz="18" w:space="0" w:color="00A8E5" w:themeColor="accent1"/>
              <w:right w:val="single" w:sz="2" w:space="0" w:color="58595B" w:themeColor="accent4"/>
            </w:tcBorders>
            <w:shd w:val="clear" w:color="auto" w:fill="F6F6F6"/>
          </w:tcPr>
          <w:p w14:paraId="558F8B83" w14:textId="69D7B109" w:rsidR="008C284F" w:rsidRPr="008C284F" w:rsidRDefault="00A36884" w:rsidP="008C284F">
            <w:pPr>
              <w:pStyle w:val="AEMCTableBodyCopyNumbers"/>
              <w:numPr>
                <w:ilvl w:val="0"/>
                <w:numId w:val="13"/>
              </w:numPr>
              <w:rPr>
                <w:rStyle w:val="Hyperlink"/>
                <w:lang w:val="pt-BR"/>
              </w:rPr>
            </w:pPr>
            <w:r w:rsidRPr="00A36884">
              <w:rPr>
                <w:rStyle w:val="Hyperlink"/>
              </w:rPr>
              <w:t>Technical information on inertia </w:t>
            </w:r>
          </w:p>
        </w:tc>
        <w:tc>
          <w:tcPr>
            <w:tcW w:w="5312" w:type="dxa"/>
            <w:tcBorders>
              <w:top w:val="single" w:sz="18" w:space="0" w:color="00A8E5" w:themeColor="accent1"/>
              <w:left w:val="single" w:sz="2" w:space="0" w:color="58595B" w:themeColor="accent4"/>
            </w:tcBorders>
          </w:tcPr>
          <w:p w14:paraId="20ED1720" w14:textId="77777777" w:rsidR="00A36884" w:rsidRPr="00A36884" w:rsidRDefault="00A36884" w:rsidP="00A36884">
            <w:pPr>
              <w:pStyle w:val="AEMCTableBodyCopy"/>
              <w:rPr>
                <w:rStyle w:val="Hyperlink"/>
              </w:rPr>
            </w:pPr>
            <w:r w:rsidRPr="00A36884">
              <w:rPr>
                <w:rStyle w:val="Hyperlink"/>
              </w:rPr>
              <w:t>Do stakeholders consider there is any additional technical information required to assess the challenges and long-term system requirements related to inertia beyond what AEMO is doing?</w:t>
            </w:r>
          </w:p>
          <w:p w14:paraId="7EE7F63B" w14:textId="429CE4E4" w:rsidR="008C284F" w:rsidRPr="00785222" w:rsidRDefault="00A36884" w:rsidP="00A36884">
            <w:pPr>
              <w:pStyle w:val="AEMCTableBodyCopy"/>
              <w:rPr>
                <w:rStyle w:val="Hyperlink"/>
              </w:rPr>
            </w:pPr>
            <w:r w:rsidRPr="00A36884">
              <w:rPr>
                <w:rStyle w:val="Hyperlink"/>
              </w:rPr>
              <w:t>Do stakeholders have their own technical information or studies that can be shared to help answer these questions?</w:t>
            </w:r>
          </w:p>
        </w:tc>
      </w:tr>
      <w:tr w:rsidR="00A36884" w:rsidRPr="0000465F" w14:paraId="4F97BB9F" w14:textId="77777777" w:rsidTr="00A36884">
        <w:tc>
          <w:tcPr>
            <w:tcW w:w="2609" w:type="dxa"/>
            <w:tcBorders>
              <w:right w:val="single" w:sz="2" w:space="0" w:color="58595B" w:themeColor="accent4"/>
            </w:tcBorders>
            <w:shd w:val="clear" w:color="auto" w:fill="F6F6F6"/>
          </w:tcPr>
          <w:p w14:paraId="1C863984" w14:textId="77498F8D" w:rsidR="00A36884" w:rsidRPr="002551EA" w:rsidRDefault="00A36884" w:rsidP="00A36884">
            <w:pPr>
              <w:pStyle w:val="AEMCTableBodyCopy"/>
              <w:numPr>
                <w:ilvl w:val="0"/>
                <w:numId w:val="13"/>
              </w:numPr>
              <w:rPr>
                <w:rStyle w:val="Hyperlink"/>
                <w:lang w:val="pt-BR"/>
              </w:rPr>
            </w:pPr>
            <w:r>
              <w:rPr>
                <w:rStyle w:val="Hyperlink"/>
              </w:rPr>
              <w:t>Inertia procurement and allocation in real-time</w:t>
            </w:r>
          </w:p>
        </w:tc>
        <w:tc>
          <w:tcPr>
            <w:tcW w:w="5312" w:type="dxa"/>
            <w:tcBorders>
              <w:left w:val="single" w:sz="2" w:space="0" w:color="58595B" w:themeColor="accent4"/>
            </w:tcBorders>
          </w:tcPr>
          <w:p w14:paraId="64594422" w14:textId="0A9A724A" w:rsidR="00A36884" w:rsidRPr="00785222" w:rsidRDefault="00A36884" w:rsidP="00A36884">
            <w:pPr>
              <w:pStyle w:val="AEMCTableBodyCopy"/>
              <w:rPr>
                <w:rStyle w:val="Hyperlink"/>
              </w:rPr>
            </w:pPr>
            <w:r w:rsidRPr="008C284F">
              <w:rPr>
                <w:rStyle w:val="Hyperlink"/>
              </w:rPr>
              <w:t xml:space="preserve">What are stakeholders’ views on the merits (or not) of defining and procuring inertia requirements dynamically in operational </w:t>
            </w:r>
            <w:r w:rsidRPr="008C284F">
              <w:rPr>
                <w:rStyle w:val="Hyperlink"/>
              </w:rPr>
              <w:lastRenderedPageBreak/>
              <w:t>timeframes, as opposed to the current approach (that is, annual assessments that inform longer-term inertia procurement to specified minimum levels)?</w:t>
            </w:r>
          </w:p>
        </w:tc>
      </w:tr>
      <w:tr w:rsidR="00A36884" w:rsidRPr="0000465F" w14:paraId="5DCDECCF" w14:textId="77777777" w:rsidTr="00A36884">
        <w:tc>
          <w:tcPr>
            <w:tcW w:w="2609" w:type="dxa"/>
            <w:tcBorders>
              <w:right w:val="single" w:sz="2" w:space="0" w:color="58595B" w:themeColor="accent4"/>
            </w:tcBorders>
            <w:shd w:val="clear" w:color="auto" w:fill="F6F6F6"/>
          </w:tcPr>
          <w:p w14:paraId="213E3BC7" w14:textId="2F945F00" w:rsidR="00A36884" w:rsidRDefault="00A36884" w:rsidP="00A36884">
            <w:pPr>
              <w:pStyle w:val="AEMCTableBodyCopy"/>
              <w:numPr>
                <w:ilvl w:val="0"/>
                <w:numId w:val="13"/>
              </w:numPr>
              <w:rPr>
                <w:rStyle w:val="Hyperlink"/>
              </w:rPr>
            </w:pPr>
            <w:r w:rsidRPr="00A36884">
              <w:rPr>
                <w:rStyle w:val="Hyperlink"/>
              </w:rPr>
              <w:lastRenderedPageBreak/>
              <w:t>Investment signals for inertia</w:t>
            </w:r>
          </w:p>
        </w:tc>
        <w:tc>
          <w:tcPr>
            <w:tcW w:w="5312" w:type="dxa"/>
            <w:tcBorders>
              <w:left w:val="single" w:sz="2" w:space="0" w:color="58595B" w:themeColor="accent4"/>
            </w:tcBorders>
          </w:tcPr>
          <w:p w14:paraId="6B880FAA" w14:textId="72583C76" w:rsidR="00A36884" w:rsidRPr="008C284F" w:rsidRDefault="00A36884" w:rsidP="00A36884">
            <w:pPr>
              <w:pStyle w:val="AEMCTableBodyCopy"/>
              <w:rPr>
                <w:rStyle w:val="Hyperlink"/>
              </w:rPr>
            </w:pPr>
            <w:r w:rsidRPr="00A36884">
              <w:rPr>
                <w:rStyle w:val="Hyperlink"/>
              </w:rPr>
              <w:t>What are stakeholders’ views on the adequacy of the current inertia framework in providing long-term investment signals and the need for reform?</w:t>
            </w:r>
          </w:p>
        </w:tc>
      </w:tr>
    </w:tbl>
    <w:p w14:paraId="0B05927D" w14:textId="1BF9334B" w:rsidR="0015555C" w:rsidRDefault="0015555C" w:rsidP="0015555C">
      <w:pPr>
        <w:pStyle w:val="AEMCHeaderL4"/>
        <w:rPr>
          <w:rStyle w:val="Hyperlink"/>
        </w:rPr>
      </w:pPr>
      <w:r w:rsidRPr="0015555C">
        <w:rPr>
          <w:rStyle w:val="Hyperlink"/>
          <w:b/>
        </w:rPr>
        <w:t xml:space="preserve">CHAPTER </w:t>
      </w:r>
      <w:r w:rsidR="00A36884">
        <w:rPr>
          <w:rStyle w:val="Hyperlink"/>
          <w:b/>
        </w:rPr>
        <w:t>3</w:t>
      </w:r>
      <w:r>
        <w:rPr>
          <w:rStyle w:val="Hyperlink"/>
        </w:rPr>
        <w:t xml:space="preserve"> –</w:t>
      </w:r>
      <w:r w:rsidR="00C114E7">
        <w:rPr>
          <w:rStyle w:val="Hyperlink"/>
        </w:rPr>
        <w:t xml:space="preserve"> </w:t>
      </w:r>
      <w:r w:rsidR="00A36884" w:rsidRPr="00A36884">
        <w:rPr>
          <w:rStyle w:val="Hyperlink"/>
        </w:rPr>
        <w:t>THE AEC’S INERTIA SPOT MARKET PROPOSAL AND ALTERNATIVE OPTIONS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609"/>
        <w:gridCol w:w="5312"/>
      </w:tblGrid>
      <w:tr w:rsidR="0015555C" w:rsidRPr="0000465F" w14:paraId="7D514F62" w14:textId="77777777" w:rsidTr="00A36884">
        <w:tc>
          <w:tcPr>
            <w:tcW w:w="2609" w:type="dxa"/>
            <w:tcBorders>
              <w:top w:val="single" w:sz="18" w:space="0" w:color="00A8E5" w:themeColor="accent1"/>
              <w:right w:val="single" w:sz="2" w:space="0" w:color="58595B" w:themeColor="accent4"/>
            </w:tcBorders>
            <w:shd w:val="clear" w:color="auto" w:fill="F6F6F6"/>
          </w:tcPr>
          <w:p w14:paraId="6FD18313" w14:textId="4B4C4D90" w:rsidR="0015555C" w:rsidRPr="002551EA" w:rsidRDefault="00A36884" w:rsidP="00A36884">
            <w:pPr>
              <w:pStyle w:val="AEMCTableBodyCopy"/>
              <w:numPr>
                <w:ilvl w:val="0"/>
                <w:numId w:val="13"/>
              </w:numPr>
              <w:rPr>
                <w:rStyle w:val="Hyperlink"/>
                <w:lang w:val="pt-BR"/>
              </w:rPr>
            </w:pPr>
            <w:r w:rsidRPr="00A36884">
              <w:rPr>
                <w:rStyle w:val="Hyperlink"/>
              </w:rPr>
              <w:t>Will the AEC’s proposed solution best address the problems raised?</w:t>
            </w:r>
          </w:p>
        </w:tc>
        <w:tc>
          <w:tcPr>
            <w:tcW w:w="5312" w:type="dxa"/>
            <w:tcBorders>
              <w:top w:val="single" w:sz="18" w:space="0" w:color="00A8E5" w:themeColor="accent1"/>
              <w:left w:val="single" w:sz="2" w:space="0" w:color="58595B" w:themeColor="accent4"/>
            </w:tcBorders>
          </w:tcPr>
          <w:p w14:paraId="77F2D925" w14:textId="77777777" w:rsidR="00A36884" w:rsidRPr="00A36884" w:rsidRDefault="00A36884" w:rsidP="00A36884">
            <w:pPr>
              <w:pStyle w:val="AEMCTableBodyCopy"/>
              <w:rPr>
                <w:rStyle w:val="Hyperlink"/>
                <w:lang w:val="en-AU"/>
              </w:rPr>
            </w:pPr>
            <w:r w:rsidRPr="00A36884">
              <w:rPr>
                <w:rStyle w:val="Hyperlink"/>
                <w:lang w:val="en-AU"/>
              </w:rPr>
              <w:t>What are stakeholders’ views on the AEC’s proposed solution?</w:t>
            </w:r>
          </w:p>
          <w:p w14:paraId="3A816AD6" w14:textId="77777777" w:rsidR="00A36884" w:rsidRPr="00A36884" w:rsidRDefault="00A36884" w:rsidP="00A36884">
            <w:pPr>
              <w:pStyle w:val="AEMCTableBodyCopy"/>
              <w:rPr>
                <w:rStyle w:val="Hyperlink"/>
                <w:lang w:val="en-AU"/>
              </w:rPr>
            </w:pPr>
            <w:r w:rsidRPr="00A36884">
              <w:rPr>
                <w:rStyle w:val="Hyperlink"/>
                <w:lang w:val="en-AU"/>
              </w:rPr>
              <w:t>Is it the best solution to improve the:</w:t>
            </w:r>
          </w:p>
          <w:p w14:paraId="11EC5A1A" w14:textId="77777777" w:rsidR="00A36884" w:rsidRPr="00A36884" w:rsidRDefault="00A36884" w:rsidP="00A36884">
            <w:pPr>
              <w:pStyle w:val="AEMCTableBodyCopy"/>
              <w:numPr>
                <w:ilvl w:val="0"/>
                <w:numId w:val="14"/>
              </w:numPr>
              <w:rPr>
                <w:rStyle w:val="Hyperlink"/>
                <w:lang w:val="en-AU"/>
              </w:rPr>
            </w:pPr>
            <w:r w:rsidRPr="00A36884">
              <w:rPr>
                <w:rStyle w:val="Hyperlink"/>
                <w:lang w:val="en-AU"/>
              </w:rPr>
              <w:t>efficiency of inertia provision in the operational timeframe?</w:t>
            </w:r>
          </w:p>
          <w:p w14:paraId="3349606D" w14:textId="77777777" w:rsidR="00A36884" w:rsidRPr="00A36884" w:rsidRDefault="00A36884" w:rsidP="00A36884">
            <w:pPr>
              <w:pStyle w:val="AEMCTableBodyCopy"/>
              <w:numPr>
                <w:ilvl w:val="0"/>
                <w:numId w:val="14"/>
              </w:numPr>
              <w:rPr>
                <w:rStyle w:val="Hyperlink"/>
                <w:lang w:val="en-AU"/>
              </w:rPr>
            </w:pPr>
            <w:r w:rsidRPr="00A36884">
              <w:rPr>
                <w:rStyle w:val="Hyperlink"/>
                <w:lang w:val="en-AU"/>
              </w:rPr>
              <w:t>efficiency of inertia provision in the investment timeframe?</w:t>
            </w:r>
          </w:p>
          <w:p w14:paraId="539E5C8C" w14:textId="21050C4B" w:rsidR="0015555C" w:rsidRPr="00A36884" w:rsidRDefault="00A36884" w:rsidP="00A36884">
            <w:pPr>
              <w:pStyle w:val="AEMCTableBodyCopy"/>
              <w:numPr>
                <w:ilvl w:val="0"/>
                <w:numId w:val="14"/>
              </w:numPr>
              <w:rPr>
                <w:rStyle w:val="Hyperlink"/>
                <w:lang w:val="en-AU"/>
              </w:rPr>
            </w:pPr>
            <w:r w:rsidRPr="00A36884">
              <w:rPr>
                <w:rStyle w:val="Hyperlink"/>
                <w:lang w:val="en-AU"/>
              </w:rPr>
              <w:t>transparency of the power system’s inertia requirements?</w:t>
            </w:r>
          </w:p>
        </w:tc>
      </w:tr>
      <w:tr w:rsidR="0015555C" w:rsidRPr="0000465F" w14:paraId="014B7E95" w14:textId="77777777" w:rsidTr="00A36884">
        <w:tc>
          <w:tcPr>
            <w:tcW w:w="2609" w:type="dxa"/>
            <w:tcBorders>
              <w:right w:val="single" w:sz="2" w:space="0" w:color="58595B" w:themeColor="accent4"/>
            </w:tcBorders>
            <w:shd w:val="clear" w:color="auto" w:fill="F6F6F6"/>
          </w:tcPr>
          <w:p w14:paraId="335F4B5A" w14:textId="35454BA6" w:rsidR="0015555C" w:rsidRPr="002551EA" w:rsidRDefault="00A36884" w:rsidP="00A36884">
            <w:pPr>
              <w:pStyle w:val="AEMCTableBodyCopy"/>
              <w:numPr>
                <w:ilvl w:val="0"/>
                <w:numId w:val="13"/>
              </w:numPr>
              <w:rPr>
                <w:rStyle w:val="Hyperlink"/>
                <w:lang w:val="pt-BR"/>
              </w:rPr>
            </w:pPr>
            <w:r w:rsidRPr="00A36884">
              <w:rPr>
                <w:rStyle w:val="Hyperlink"/>
              </w:rPr>
              <w:t>Alternative options</w:t>
            </w:r>
          </w:p>
        </w:tc>
        <w:tc>
          <w:tcPr>
            <w:tcW w:w="5312" w:type="dxa"/>
            <w:tcBorders>
              <w:left w:val="single" w:sz="2" w:space="0" w:color="58595B" w:themeColor="accent4"/>
            </w:tcBorders>
          </w:tcPr>
          <w:p w14:paraId="62B21B7D" w14:textId="77777777" w:rsidR="00A36884" w:rsidRPr="00A36884" w:rsidRDefault="00A36884" w:rsidP="00A36884">
            <w:pPr>
              <w:pStyle w:val="AEMCTableBodyCopy"/>
              <w:rPr>
                <w:rStyle w:val="Hyperlink"/>
              </w:rPr>
            </w:pPr>
            <w:r w:rsidRPr="00A36884">
              <w:rPr>
                <w:rStyle w:val="Hyperlink"/>
              </w:rPr>
              <w:t>Do stakeholders consider that any of these options address the problems identified (see Chapter 3) more effectively than the proposed solution of an inertia spot market?</w:t>
            </w:r>
          </w:p>
          <w:p w14:paraId="69DA9322" w14:textId="65D58870" w:rsidR="0015555C" w:rsidRPr="00785222" w:rsidRDefault="00A36884" w:rsidP="00A36884">
            <w:pPr>
              <w:pStyle w:val="AEMCTableBodyCopy"/>
              <w:rPr>
                <w:rStyle w:val="Hyperlink"/>
              </w:rPr>
            </w:pPr>
            <w:r w:rsidRPr="00A36884">
              <w:rPr>
                <w:rStyle w:val="Hyperlink"/>
              </w:rPr>
              <w:t>Are there any additional options not identified in this consultation paper that should be investigated?</w:t>
            </w:r>
          </w:p>
        </w:tc>
      </w:tr>
      <w:tr w:rsidR="0015555C" w:rsidRPr="0000465F" w14:paraId="7777A233" w14:textId="77777777" w:rsidTr="00A36884">
        <w:tc>
          <w:tcPr>
            <w:tcW w:w="2609" w:type="dxa"/>
            <w:tcBorders>
              <w:right w:val="single" w:sz="2" w:space="0" w:color="58595B" w:themeColor="accent4"/>
            </w:tcBorders>
            <w:shd w:val="clear" w:color="auto" w:fill="F6F6F6"/>
          </w:tcPr>
          <w:p w14:paraId="4843DDF0" w14:textId="426FC681" w:rsidR="0015555C" w:rsidRPr="002551EA" w:rsidRDefault="00A36884" w:rsidP="00A36884">
            <w:pPr>
              <w:pStyle w:val="AEMCTableBodyCopy"/>
              <w:numPr>
                <w:ilvl w:val="0"/>
                <w:numId w:val="13"/>
              </w:numPr>
              <w:rPr>
                <w:rStyle w:val="Hyperlink"/>
                <w:lang w:val="pt-BR"/>
              </w:rPr>
            </w:pPr>
            <w:r>
              <w:rPr>
                <w:rStyle w:val="Hyperlink"/>
                <w:lang w:val="pt-BR"/>
              </w:rPr>
              <w:t>Implementation consideration</w:t>
            </w:r>
          </w:p>
        </w:tc>
        <w:tc>
          <w:tcPr>
            <w:tcW w:w="5312" w:type="dxa"/>
            <w:tcBorders>
              <w:left w:val="single" w:sz="2" w:space="0" w:color="58595B" w:themeColor="accent4"/>
            </w:tcBorders>
          </w:tcPr>
          <w:p w14:paraId="6EA628C9" w14:textId="7DCA6736" w:rsidR="0015555C" w:rsidRPr="00785222" w:rsidRDefault="00A36884" w:rsidP="00785222">
            <w:pPr>
              <w:pStyle w:val="AEMCTableBodyCopy"/>
              <w:rPr>
                <w:rStyle w:val="Hyperlink"/>
              </w:rPr>
            </w:pPr>
            <w:r w:rsidRPr="00A36884">
              <w:rPr>
                <w:rStyle w:val="Hyperlink"/>
              </w:rPr>
              <w:t>What are stakeholders’ views on the implementation considerations identified?</w:t>
            </w:r>
          </w:p>
        </w:tc>
      </w:tr>
    </w:tbl>
    <w:p w14:paraId="5B19CF8D" w14:textId="7F4928BF" w:rsidR="00DD0B3D" w:rsidRDefault="00DD0B3D" w:rsidP="00DD0B3D">
      <w:pPr>
        <w:pStyle w:val="AEMCHeaderL4"/>
        <w:rPr>
          <w:rStyle w:val="Hyperlink"/>
        </w:rPr>
      </w:pPr>
      <w:r w:rsidRPr="0015555C">
        <w:rPr>
          <w:rStyle w:val="Hyperlink"/>
          <w:b/>
        </w:rPr>
        <w:t xml:space="preserve">CHAPTER </w:t>
      </w:r>
      <w:r w:rsidR="00A36884">
        <w:rPr>
          <w:rStyle w:val="Hyperlink"/>
          <w:b/>
        </w:rPr>
        <w:t>4</w:t>
      </w:r>
      <w:r>
        <w:rPr>
          <w:rStyle w:val="Hyperlink"/>
        </w:rPr>
        <w:t xml:space="preserve"> –</w:t>
      </w:r>
      <w:r w:rsidR="00C114E7">
        <w:rPr>
          <w:rStyle w:val="Hyperlink"/>
        </w:rPr>
        <w:t xml:space="preserve"> </w:t>
      </w:r>
      <w:r w:rsidR="00A36884" w:rsidRPr="00A36884">
        <w:rPr>
          <w:rStyle w:val="Hyperlink"/>
        </w:rPr>
        <w:t>MAKING OUR DECISION</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7AC01D8B" w14:textId="77777777" w:rsidTr="001C6966">
        <w:tc>
          <w:tcPr>
            <w:tcW w:w="2835" w:type="dxa"/>
            <w:tcBorders>
              <w:top w:val="single" w:sz="18" w:space="0" w:color="00A8E5" w:themeColor="accent1"/>
              <w:right w:val="single" w:sz="2" w:space="0" w:color="58595B" w:themeColor="accent4"/>
            </w:tcBorders>
            <w:shd w:val="clear" w:color="auto" w:fill="F6F6F6"/>
          </w:tcPr>
          <w:p w14:paraId="083C2DFE" w14:textId="560B0D47" w:rsidR="0015555C" w:rsidRPr="002551EA" w:rsidRDefault="00A36884" w:rsidP="00A36884">
            <w:pPr>
              <w:pStyle w:val="AEMCTableBodyCopy"/>
              <w:numPr>
                <w:ilvl w:val="0"/>
                <w:numId w:val="13"/>
              </w:numPr>
              <w:rPr>
                <w:rStyle w:val="Hyperlink"/>
                <w:lang w:val="pt-BR"/>
              </w:rPr>
            </w:pPr>
            <w:r>
              <w:rPr>
                <w:rStyle w:val="Hyperlink"/>
              </w:rPr>
              <w:t>Assessment Framework</w:t>
            </w:r>
          </w:p>
        </w:tc>
        <w:tc>
          <w:tcPr>
            <w:tcW w:w="5086" w:type="dxa"/>
            <w:tcBorders>
              <w:top w:val="single" w:sz="18" w:space="0" w:color="00A8E5" w:themeColor="accent1"/>
              <w:left w:val="single" w:sz="2" w:space="0" w:color="58595B" w:themeColor="accent4"/>
            </w:tcBorders>
          </w:tcPr>
          <w:p w14:paraId="07BD0D9E" w14:textId="3CC538EA" w:rsidR="0015555C" w:rsidRPr="00785222" w:rsidRDefault="00A36884" w:rsidP="00785222">
            <w:pPr>
              <w:pStyle w:val="AEMCTableBodyCopy"/>
              <w:rPr>
                <w:rStyle w:val="Hyperlink"/>
              </w:rPr>
            </w:pPr>
            <w:r w:rsidRPr="00A36884">
              <w:rPr>
                <w:rStyle w:val="Hyperlink"/>
              </w:rPr>
              <w:t xml:space="preserve">Do you agree with the proposed assessment framework? Are there additional principles that the Commission should </w:t>
            </w:r>
            <w:proofErr w:type="gramStart"/>
            <w:r w:rsidRPr="00A36884">
              <w:rPr>
                <w:rStyle w:val="Hyperlink"/>
              </w:rPr>
              <w:t>take into account</w:t>
            </w:r>
            <w:proofErr w:type="gramEnd"/>
            <w:r w:rsidRPr="00A36884">
              <w:rPr>
                <w:rStyle w:val="Hyperlink"/>
              </w:rPr>
              <w:t xml:space="preserve"> or principles included here that are not relevant?</w:t>
            </w:r>
          </w:p>
        </w:tc>
      </w:tr>
    </w:tbl>
    <w:p w14:paraId="2A14D463" w14:textId="77777777" w:rsidR="00C114E7" w:rsidRDefault="00C114E7" w:rsidP="00C114E7">
      <w:pPr>
        <w:pStyle w:val="AEMCHeaderL4"/>
        <w:rPr>
          <w:rStyle w:val="Hyperlink"/>
        </w:rPr>
      </w:pPr>
      <w:r>
        <w:rPr>
          <w:rStyle w:val="Hyperlink"/>
          <w:b/>
        </w:rPr>
        <w:t>OTHER COMMENTS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C114E7" w:rsidRPr="0000465F" w14:paraId="1CCA65E9" w14:textId="77777777" w:rsidTr="001926E2">
        <w:tc>
          <w:tcPr>
            <w:tcW w:w="2835" w:type="dxa"/>
            <w:tcBorders>
              <w:top w:val="single" w:sz="18" w:space="0" w:color="00A8E5" w:themeColor="accent1"/>
              <w:right w:val="single" w:sz="2" w:space="0" w:color="58595B" w:themeColor="accent4"/>
            </w:tcBorders>
            <w:shd w:val="clear" w:color="auto" w:fill="F6F6F6"/>
          </w:tcPr>
          <w:p w14:paraId="7C2492C2" w14:textId="3333EB32" w:rsidR="00C114E7" w:rsidRPr="0000465F" w:rsidRDefault="00A36884" w:rsidP="00A36884">
            <w:pPr>
              <w:pStyle w:val="AEMCTableBodyCopy"/>
              <w:numPr>
                <w:ilvl w:val="0"/>
                <w:numId w:val="13"/>
              </w:numPr>
              <w:rPr>
                <w:rStyle w:val="Hyperlink"/>
              </w:rPr>
            </w:pPr>
            <w:r>
              <w:rPr>
                <w:rStyle w:val="Hyperlink"/>
              </w:rPr>
              <w:t>A</w:t>
            </w:r>
            <w:r w:rsidR="00C114E7">
              <w:rPr>
                <w:rStyle w:val="Hyperlink"/>
              </w:rPr>
              <w:t xml:space="preserve">dditional </w:t>
            </w:r>
            <w:r>
              <w:rPr>
                <w:rStyle w:val="Hyperlink"/>
              </w:rPr>
              <w:t>comments</w:t>
            </w:r>
          </w:p>
        </w:tc>
        <w:tc>
          <w:tcPr>
            <w:tcW w:w="5086" w:type="dxa"/>
            <w:tcBorders>
              <w:top w:val="single" w:sz="18" w:space="0" w:color="00A8E5" w:themeColor="accent1"/>
              <w:left w:val="single" w:sz="2" w:space="0" w:color="58595B" w:themeColor="accent4"/>
            </w:tcBorders>
          </w:tcPr>
          <w:p w14:paraId="221F108B" w14:textId="77777777" w:rsidR="00C114E7" w:rsidRPr="00785222" w:rsidRDefault="00C114E7" w:rsidP="001926E2">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1BB46514" w14:textId="77777777" w:rsidR="00C114E7" w:rsidRPr="0015555C" w:rsidRDefault="00C114E7" w:rsidP="0015555C">
      <w:pPr>
        <w:pStyle w:val="AEMCBodyCopy"/>
      </w:pPr>
    </w:p>
    <w:sectPr w:rsidR="00C114E7" w:rsidRPr="0015555C" w:rsidSect="00EB47DB">
      <w:headerReference w:type="default" r:id="rId12"/>
      <w:footerReference w:type="default" r:id="rId13"/>
      <w:headerReference w:type="first" r:id="rId14"/>
      <w:footerReference w:type="first" r:id="rId15"/>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E2B3" w14:textId="77777777" w:rsidR="00256613" w:rsidRDefault="00256613" w:rsidP="00E768E2">
      <w:r>
        <w:separator/>
      </w:r>
    </w:p>
    <w:p w14:paraId="5196D481" w14:textId="77777777" w:rsidR="00256613" w:rsidRDefault="00256613" w:rsidP="00E768E2"/>
    <w:p w14:paraId="22632CC9" w14:textId="77777777" w:rsidR="00256613" w:rsidRDefault="00256613" w:rsidP="00E768E2"/>
    <w:p w14:paraId="51B9DF47" w14:textId="77777777" w:rsidR="00256613" w:rsidRDefault="00256613" w:rsidP="00E768E2"/>
    <w:p w14:paraId="62B792D6" w14:textId="77777777" w:rsidR="00256613" w:rsidRDefault="00256613"/>
    <w:p w14:paraId="37891919" w14:textId="77777777" w:rsidR="00256613" w:rsidRDefault="00256613"/>
  </w:endnote>
  <w:endnote w:type="continuationSeparator" w:id="0">
    <w:p w14:paraId="5F377009" w14:textId="77777777" w:rsidR="00256613" w:rsidRDefault="00256613" w:rsidP="00E768E2">
      <w:r>
        <w:continuationSeparator/>
      </w:r>
    </w:p>
    <w:p w14:paraId="6CD1EF9F" w14:textId="77777777" w:rsidR="00256613" w:rsidRDefault="00256613" w:rsidP="00E768E2"/>
    <w:p w14:paraId="4CE2853F" w14:textId="77777777" w:rsidR="00256613" w:rsidRDefault="00256613" w:rsidP="00E768E2"/>
    <w:p w14:paraId="291E9DAD" w14:textId="77777777" w:rsidR="00256613" w:rsidRDefault="00256613" w:rsidP="00E768E2"/>
    <w:p w14:paraId="1693BCE2" w14:textId="77777777" w:rsidR="00256613" w:rsidRDefault="00256613"/>
    <w:p w14:paraId="3CC1E512" w14:textId="77777777" w:rsidR="00256613" w:rsidRDefault="00256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CCF4"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6B22"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3B89" w14:textId="77777777" w:rsidR="00256613" w:rsidRDefault="00256613">
      <w:r>
        <w:separator/>
      </w:r>
    </w:p>
  </w:footnote>
  <w:footnote w:type="continuationSeparator" w:id="0">
    <w:p w14:paraId="7285F832" w14:textId="77777777" w:rsidR="00256613" w:rsidRDefault="00256613" w:rsidP="00E768E2">
      <w:r>
        <w:continuationSeparator/>
      </w:r>
    </w:p>
    <w:p w14:paraId="188F9BD7" w14:textId="77777777" w:rsidR="00256613" w:rsidRDefault="00256613" w:rsidP="00E768E2"/>
    <w:p w14:paraId="585A3C61" w14:textId="77777777" w:rsidR="00256613" w:rsidRDefault="00256613" w:rsidP="00E768E2"/>
    <w:p w14:paraId="18CB34B3" w14:textId="77777777" w:rsidR="00256613" w:rsidRDefault="00256613" w:rsidP="00E768E2"/>
    <w:p w14:paraId="46B17A3D" w14:textId="77777777" w:rsidR="00256613" w:rsidRDefault="00256613"/>
    <w:p w14:paraId="21AB4D61" w14:textId="77777777" w:rsidR="00256613" w:rsidRDefault="00256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16"/>
    </w:tblGrid>
    <w:tr w:rsidR="00D260FB" w14:paraId="43F23E04" w14:textId="77777777" w:rsidTr="00C14DB5">
      <w:trPr>
        <w:trHeight w:val="680"/>
      </w:trPr>
      <w:tc>
        <w:tcPr>
          <w:tcW w:w="8147" w:type="dxa"/>
        </w:tcPr>
        <w:p w14:paraId="6A722D92" w14:textId="77777777" w:rsidR="00D260FB" w:rsidRDefault="005E638A" w:rsidP="00356376">
          <w:pPr>
            <w:pStyle w:val="Header"/>
            <w:ind w:left="85"/>
            <w:rPr>
              <w:b/>
              <w:lang w:val="en-AU"/>
            </w:rPr>
          </w:pPr>
          <w:r>
            <w:rPr>
              <w:b/>
              <w:lang w:val="en-AU"/>
            </w:rPr>
            <w:t>Stakeholder feedback</w:t>
          </w:r>
        </w:p>
        <w:p w14:paraId="669A2E61" w14:textId="37BAD884" w:rsidR="00356376" w:rsidRPr="00356376" w:rsidRDefault="00356376" w:rsidP="00356376">
          <w:pPr>
            <w:pStyle w:val="Header"/>
            <w:ind w:left="85"/>
            <w:rPr>
              <w:b/>
              <w:lang w:val="en-AU"/>
            </w:rPr>
          </w:pPr>
          <w:r>
            <w:rPr>
              <w:b/>
              <w:lang w:val="en-AU"/>
            </w:rPr>
            <w:t>ERC0339: Efficient provision of inertia</w:t>
          </w:r>
        </w:p>
      </w:tc>
    </w:tr>
  </w:tbl>
  <w:p w14:paraId="3F42062E"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752" behindDoc="1" locked="0" layoutInCell="1" allowOverlap="1" wp14:anchorId="383AA43A" wp14:editId="3CBB1BC3">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AA43A" id="_x0000_t202" coordsize="21600,21600" o:spt="202" path="m,l,21600r21600,l21600,xe">
              <v:stroke joinstyle="miter"/>
              <v:path gradientshapeok="t" o:connecttype="rect"/>
            </v:shapetype>
            <v:shape id="Text Box 3" o:spid="_x0000_s1026" type="#_x0000_t202" style="position:absolute;margin-left:56.65pt;margin-top:44pt;width:68pt;height: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" filled="f" stroked="f" strokeweight=".5pt">
              <v:textbox inset="0,0,0,0">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B566"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60800" behindDoc="1" locked="0" layoutInCell="1" allowOverlap="0" wp14:anchorId="7124E7BF" wp14:editId="2FDB7769">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FF3C10"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" o:allowoverlap="f" strokecolor="#00a8e5 [3204]" strokeweight="1.5pt">
              <w10:wrap anchorx="page" anchory="page"/>
            </v:line>
          </w:pict>
        </mc:Fallback>
      </mc:AlternateContent>
    </w:r>
    <w:r w:rsidR="00F73126">
      <w:rPr>
        <w:noProof/>
        <w:lang w:val="en-AU" w:eastAsia="en-AU"/>
      </w:rPr>
      <w:drawing>
        <wp:inline distT="0" distB="0" distL="0" distR="0" wp14:anchorId="1180B5B6" wp14:editId="11C7D44C">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5635A08"/>
    <w:multiLevelType w:val="hybridMultilevel"/>
    <w:tmpl w:val="613A8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D41893"/>
    <w:multiLevelType w:val="hybridMultilevel"/>
    <w:tmpl w:val="61C8A2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8860513">
    <w:abstractNumId w:val="7"/>
  </w:num>
  <w:num w:numId="2" w16cid:durableId="1829635339">
    <w:abstractNumId w:val="3"/>
  </w:num>
  <w:num w:numId="3" w16cid:durableId="1601402807">
    <w:abstractNumId w:val="1"/>
  </w:num>
  <w:num w:numId="4" w16cid:durableId="2099909205">
    <w:abstractNumId w:val="2"/>
  </w:num>
  <w:num w:numId="5" w16cid:durableId="1962492992">
    <w:abstractNumId w:val="8"/>
  </w:num>
  <w:num w:numId="6" w16cid:durableId="1825926473">
    <w:abstractNumId w:val="9"/>
  </w:num>
  <w:num w:numId="7" w16cid:durableId="829176880">
    <w:abstractNumId w:val="5"/>
  </w:num>
  <w:num w:numId="8" w16cid:durableId="71708049">
    <w:abstractNumId w:val="5"/>
    <w:lvlOverride w:ilvl="0">
      <w:startOverride w:val="1"/>
    </w:lvlOverride>
  </w:num>
  <w:num w:numId="9" w16cid:durableId="1697851166">
    <w:abstractNumId w:val="10"/>
  </w:num>
  <w:num w:numId="10" w16cid:durableId="1237326459">
    <w:abstractNumId w:val="0"/>
  </w:num>
  <w:num w:numId="11" w16cid:durableId="1880703821">
    <w:abstractNumId w:val="11"/>
  </w:num>
  <w:num w:numId="12" w16cid:durableId="1162744127">
    <w:abstractNumId w:val="9"/>
    <w:lvlOverride w:ilvl="0">
      <w:startOverride w:val="2"/>
    </w:lvlOverride>
  </w:num>
  <w:num w:numId="13" w16cid:durableId="1857117658">
    <w:abstractNumId w:val="6"/>
  </w:num>
  <w:num w:numId="14" w16cid:durableId="182257719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EA"/>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93E"/>
    <w:rsid w:val="00087F77"/>
    <w:rsid w:val="0009020F"/>
    <w:rsid w:val="00091D7A"/>
    <w:rsid w:val="00092D3A"/>
    <w:rsid w:val="00094B2E"/>
    <w:rsid w:val="00095114"/>
    <w:rsid w:val="00095231"/>
    <w:rsid w:val="0009593C"/>
    <w:rsid w:val="00096017"/>
    <w:rsid w:val="0009733D"/>
    <w:rsid w:val="00097BA5"/>
    <w:rsid w:val="00097D99"/>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1EA"/>
    <w:rsid w:val="002556CD"/>
    <w:rsid w:val="00256613"/>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376"/>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1CE8"/>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59E"/>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284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6884"/>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13DE"/>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53612"/>
  <w15:docId w15:val="{F4DDB077-970D-428B-8190-B8869180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01025328">
      <w:bodyDiv w:val="1"/>
      <w:marLeft w:val="0"/>
      <w:marRight w:val="0"/>
      <w:marTop w:val="0"/>
      <w:marBottom w:val="0"/>
      <w:divBdr>
        <w:top w:val="none" w:sz="0" w:space="0" w:color="auto"/>
        <w:left w:val="none" w:sz="0" w:space="0" w:color="auto"/>
        <w:bottom w:val="none" w:sz="0" w:space="0" w:color="auto"/>
        <w:right w:val="none" w:sz="0" w:space="0" w:color="auto"/>
      </w:divBdr>
      <w:divsChild>
        <w:div w:id="321127597">
          <w:marLeft w:val="0"/>
          <w:marRight w:val="0"/>
          <w:marTop w:val="0"/>
          <w:marBottom w:val="0"/>
          <w:divBdr>
            <w:top w:val="none" w:sz="0" w:space="0" w:color="auto"/>
            <w:left w:val="none" w:sz="0" w:space="0" w:color="auto"/>
            <w:bottom w:val="none" w:sz="0" w:space="0" w:color="auto"/>
            <w:right w:val="none" w:sz="0" w:space="0" w:color="auto"/>
          </w:divBdr>
        </w:div>
        <w:div w:id="2002616290">
          <w:marLeft w:val="0"/>
          <w:marRight w:val="0"/>
          <w:marTop w:val="0"/>
          <w:marBottom w:val="0"/>
          <w:divBdr>
            <w:top w:val="none" w:sz="0" w:space="0" w:color="auto"/>
            <w:left w:val="none" w:sz="0" w:space="0" w:color="auto"/>
            <w:bottom w:val="none" w:sz="0" w:space="0" w:color="auto"/>
            <w:right w:val="none" w:sz="0" w:space="0" w:color="auto"/>
          </w:divBdr>
        </w:div>
      </w:divsChild>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moraes\aemc.gov.au\Knowledge%20Bank%20-%20Documents\9%20Tools%20and%20templates\Templates\Submissions%20-%20stakeholder%20feedback%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f98e0c-8c7e-4e57-abe0-d29e23a3bbad">
      <Terms xmlns="http://schemas.microsoft.com/office/infopath/2007/PartnerControls"/>
    </lcf76f155ced4ddcb4097134ff3c332f>
    <TaxCatchAll xmlns="a919a792-abf1-47c8-a2ef-46e8b7be7c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67B0DDBD56FC4CBF17E32BA315302B" ma:contentTypeVersion="12" ma:contentTypeDescription="Create a new document." ma:contentTypeScope="" ma:versionID="a9bb1b8b57f4a1f4331f7e11133fcbdb">
  <xsd:schema xmlns:xsd="http://www.w3.org/2001/XMLSchema" xmlns:xs="http://www.w3.org/2001/XMLSchema" xmlns:p="http://schemas.microsoft.com/office/2006/metadata/properties" xmlns:ns2="bcf98e0c-8c7e-4e57-abe0-d29e23a3bbad" xmlns:ns3="a919a792-abf1-47c8-a2ef-46e8b7be7c31" targetNamespace="http://schemas.microsoft.com/office/2006/metadata/properties" ma:root="true" ma:fieldsID="054dea4d6a2fe2426f3b6f547752b44c" ns2:_="" ns3:_="">
    <xsd:import namespace="bcf98e0c-8c7e-4e57-abe0-d29e23a3bbad"/>
    <xsd:import namespace="a919a792-abf1-47c8-a2ef-46e8b7be7c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98e0c-8c7e-4e57-abe0-d29e23a3b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0d37ff-4b49-4a0e-9639-cf9ee044ed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19a792-abf1-47c8-a2ef-46e8b7be7c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06c3c41-fa63-4d18-a683-bfab4e4c0b4b}" ma:internalName="TaxCatchAll" ma:showField="CatchAllData" ma:web="a919a792-abf1-47c8-a2ef-46e8b7be7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510B11F-E2CB-4442-896A-6A0152720112}">
  <ds:schemaRefs>
    <ds:schemaRef ds:uri="http://schemas.microsoft.com/office/2006/metadata/properties"/>
    <ds:schemaRef ds:uri="http://schemas.microsoft.com/office/infopath/2007/PartnerControls"/>
    <ds:schemaRef ds:uri="f43145c1-45e0-4a2f-8037-5969aec2b469"/>
    <ds:schemaRef ds:uri="2911cd5d-031b-450a-bc92-0031f4cf5792"/>
  </ds:schemaRefs>
</ds:datastoreItem>
</file>

<file path=customXml/itemProps2.xml><?xml version="1.0" encoding="utf-8"?>
<ds:datastoreItem xmlns:ds="http://schemas.openxmlformats.org/officeDocument/2006/customXml" ds:itemID="{A46F0E7A-282F-44FB-AD0D-0354B79A2751}">
  <ds:schemaRefs>
    <ds:schemaRef ds:uri="http://schemas.microsoft.com/sharepoint/v3/contenttype/forms"/>
  </ds:schemaRefs>
</ds:datastoreItem>
</file>

<file path=customXml/itemProps3.xml><?xml version="1.0" encoding="utf-8"?>
<ds:datastoreItem xmlns:ds="http://schemas.openxmlformats.org/officeDocument/2006/customXml" ds:itemID="{5E02C3B7-9B02-4A9B-8B67-B0A29ABFEB61}"/>
</file>

<file path=customXml/itemProps4.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5.xml><?xml version="1.0" encoding="utf-8"?>
<ds:datastoreItem xmlns:ds="http://schemas.openxmlformats.org/officeDocument/2006/customXml" ds:itemID="{4047C760-DFF3-458D-9273-B76E4E6B93B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Submissions - stakeholder feedback template</Template>
  <TotalTime>7</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2997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Daniela Moraes</dc:creator>
  <cp:lastModifiedBy>John Kim</cp:lastModifiedBy>
  <cp:revision>4</cp:revision>
  <cp:lastPrinted>2016-04-17T05:54:00Z</cp:lastPrinted>
  <dcterms:created xsi:type="dcterms:W3CDTF">2023-03-01T00:04:00Z</dcterms:created>
  <dcterms:modified xsi:type="dcterms:W3CDTF">2023-03-01T00:43:00Z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0x010100B867B0DDBD56FC4CBF17E32BA315302B</vt:lpwstr>
  </property>
  <property fmtid="{D5CDD505-2E9C-101B-9397-08002B2CF9AE}" pid="3" name="GrammarlyDocumentId">
    <vt:lpwstr>3608ce38-1c43-46b7-ac55-16f9867534c2</vt:lpwstr>
  </property>
  <property fmtid="{D5CDD505-2E9C-101B-9397-08002B2CF9AE}" pid="4" name="MediaServiceImageTags">
    <vt:lpwstr/>
  </property>
</Properties>
</file>