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1129" w14:textId="2B41C6E6" w:rsidR="00CF2D94" w:rsidRPr="00CF2D94" w:rsidRDefault="004509C2" w:rsidP="00627B0D">
      <w:pPr>
        <w:pStyle w:val="AEMCHEADERL1"/>
        <w:outlineLvl w:val="0"/>
      </w:pPr>
      <w:r>
        <w:t>Amending the administered price cap rule change</w:t>
      </w:r>
    </w:p>
    <w:p w14:paraId="10BA4BCE" w14:textId="77777777" w:rsidR="00CF2D94" w:rsidRPr="00F73126" w:rsidRDefault="005E638A" w:rsidP="00627B0D">
      <w:pPr>
        <w:pStyle w:val="AEMCHeaderL2"/>
        <w:outlineLvl w:val="0"/>
        <w:rPr>
          <w:szCs w:val="36"/>
        </w:rPr>
      </w:pPr>
      <w:r>
        <w:t>stakeholder feedback template</w:t>
      </w:r>
    </w:p>
    <w:p w14:paraId="55FAE5B1"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154A9890"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19353561" w14:textId="77777777" w:rsidTr="00780BB3">
        <w:tc>
          <w:tcPr>
            <w:tcW w:w="1560" w:type="dxa"/>
          </w:tcPr>
          <w:p w14:paraId="69CB76F2"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D9F0951" w14:textId="4725F418" w:rsidR="008C6A18" w:rsidRPr="00785222" w:rsidRDefault="008C6A18" w:rsidP="00785222">
            <w:pPr>
              <w:pStyle w:val="AEMCTableCopySubmitterDetails"/>
              <w:rPr>
                <w:rStyle w:val="Hyperlink"/>
              </w:rPr>
            </w:pPr>
          </w:p>
        </w:tc>
      </w:tr>
      <w:tr w:rsidR="008C6A18" w:rsidRPr="00A85F9E" w14:paraId="06C2C40E" w14:textId="77777777" w:rsidTr="00780BB3">
        <w:tc>
          <w:tcPr>
            <w:tcW w:w="1560" w:type="dxa"/>
          </w:tcPr>
          <w:p w14:paraId="294D929F"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1FFEA313" w14:textId="302785DB" w:rsidR="008C6A18" w:rsidRPr="00785222" w:rsidRDefault="008C6A18" w:rsidP="00785222">
            <w:pPr>
              <w:pStyle w:val="AEMCTableCopySubmitterDetails"/>
              <w:rPr>
                <w:rStyle w:val="Hyperlink"/>
              </w:rPr>
            </w:pPr>
          </w:p>
        </w:tc>
      </w:tr>
      <w:tr w:rsidR="008C6A18" w:rsidRPr="00A85F9E" w14:paraId="5340A678" w14:textId="77777777" w:rsidTr="00780BB3">
        <w:tc>
          <w:tcPr>
            <w:tcW w:w="1560" w:type="dxa"/>
          </w:tcPr>
          <w:p w14:paraId="78E810BE"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79D74A0C" w14:textId="7746F8A6" w:rsidR="008C6A18" w:rsidRPr="00785222" w:rsidRDefault="008C6A18" w:rsidP="00785222">
            <w:pPr>
              <w:pStyle w:val="AEMCTableCopySubmitterDetails"/>
              <w:rPr>
                <w:rStyle w:val="Hyperlink"/>
              </w:rPr>
            </w:pPr>
          </w:p>
        </w:tc>
      </w:tr>
      <w:tr w:rsidR="008C6A18" w:rsidRPr="00A85F9E" w14:paraId="2995B88E" w14:textId="77777777" w:rsidTr="00780BB3">
        <w:tc>
          <w:tcPr>
            <w:tcW w:w="1560" w:type="dxa"/>
          </w:tcPr>
          <w:p w14:paraId="723F2A06"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7C3C1F9D" w14:textId="78BDED31" w:rsidR="008C6A18" w:rsidRPr="00785222" w:rsidRDefault="008C6A18" w:rsidP="00785222">
            <w:pPr>
              <w:pStyle w:val="AEMCTableCopySubmitterDetails"/>
              <w:rPr>
                <w:rStyle w:val="Hyperlink"/>
              </w:rPr>
            </w:pPr>
          </w:p>
        </w:tc>
      </w:tr>
      <w:tr w:rsidR="00C114E7" w:rsidRPr="00A85F9E" w14:paraId="1C4D50FB" w14:textId="77777777" w:rsidTr="00780BB3">
        <w:tc>
          <w:tcPr>
            <w:tcW w:w="1560" w:type="dxa"/>
          </w:tcPr>
          <w:p w14:paraId="6FD5F66D"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7E5BA170" w14:textId="2941586E" w:rsidR="00C114E7" w:rsidRPr="00785222" w:rsidRDefault="00C114E7" w:rsidP="00785222">
            <w:pPr>
              <w:pStyle w:val="AEMCTableCopySubmitterDetails"/>
              <w:rPr>
                <w:rStyle w:val="Hyperlink"/>
              </w:rPr>
            </w:pPr>
          </w:p>
        </w:tc>
      </w:tr>
    </w:tbl>
    <w:p w14:paraId="5D287A6F" w14:textId="77777777" w:rsidR="00C114E7" w:rsidRDefault="00C114E7" w:rsidP="00C114E7">
      <w:pPr>
        <w:pStyle w:val="AEMCHeaderL3"/>
        <w:rPr>
          <w:rStyle w:val="Hyperlink"/>
        </w:rPr>
      </w:pPr>
    </w:p>
    <w:p w14:paraId="74EDD893"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16F37E7A" w14:textId="77777777" w:rsidTr="001926E2">
        <w:tc>
          <w:tcPr>
            <w:tcW w:w="1560" w:type="dxa"/>
          </w:tcPr>
          <w:p w14:paraId="639A80F4" w14:textId="77777777" w:rsidR="00C114E7" w:rsidRPr="00780BB3" w:rsidRDefault="00C114E7" w:rsidP="001926E2">
            <w:pPr>
              <w:pStyle w:val="AEMCTableCopySubmitterDetails"/>
              <w:rPr>
                <w:rStyle w:val="Hyperlink"/>
                <w:b/>
              </w:rPr>
            </w:pPr>
            <w:r>
              <w:rPr>
                <w:rStyle w:val="Hyperlink"/>
                <w:b/>
              </w:rPr>
              <w:t>NAME OF RULE CHANGE:</w:t>
            </w:r>
          </w:p>
        </w:tc>
        <w:tc>
          <w:tcPr>
            <w:tcW w:w="6361" w:type="dxa"/>
          </w:tcPr>
          <w:p w14:paraId="3951ECBA" w14:textId="166B47DD" w:rsidR="00C114E7" w:rsidRPr="00C114E7" w:rsidRDefault="004509C2" w:rsidP="001926E2">
            <w:pPr>
              <w:pStyle w:val="AEMCTableCopySubmitterDetails"/>
              <w:rPr>
                <w:rStyle w:val="Hyperlink"/>
                <w:b/>
              </w:rPr>
            </w:pPr>
            <w:r>
              <w:rPr>
                <w:rStyle w:val="Hyperlink"/>
                <w:b/>
              </w:rPr>
              <w:t>Amending the administered price cap</w:t>
            </w:r>
          </w:p>
        </w:tc>
      </w:tr>
      <w:tr w:rsidR="00C114E7" w:rsidRPr="00A85F9E" w14:paraId="3D457730" w14:textId="77777777" w:rsidTr="001926E2">
        <w:tc>
          <w:tcPr>
            <w:tcW w:w="1560" w:type="dxa"/>
          </w:tcPr>
          <w:p w14:paraId="1647DF2C"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5E494E15" w14:textId="5BABA8DE" w:rsidR="00C114E7" w:rsidRPr="00785222" w:rsidRDefault="004509C2" w:rsidP="001926E2">
            <w:pPr>
              <w:pStyle w:val="AEMCTableCopySubmitterDetails"/>
              <w:rPr>
                <w:rStyle w:val="Hyperlink"/>
              </w:rPr>
            </w:pPr>
            <w:r>
              <w:rPr>
                <w:rStyle w:val="Hyperlink"/>
                <w:b/>
              </w:rPr>
              <w:t>ERC0347</w:t>
            </w:r>
          </w:p>
        </w:tc>
      </w:tr>
      <w:tr w:rsidR="00C114E7" w:rsidRPr="00A85F9E" w14:paraId="115AA231" w14:textId="77777777" w:rsidTr="001926E2">
        <w:tc>
          <w:tcPr>
            <w:tcW w:w="1560" w:type="dxa"/>
          </w:tcPr>
          <w:p w14:paraId="2CFA3412" w14:textId="77777777" w:rsidR="00C114E7" w:rsidRPr="00780BB3" w:rsidRDefault="00C114E7" w:rsidP="001926E2">
            <w:pPr>
              <w:pStyle w:val="AEMCTableCopySubmitterDetails"/>
              <w:rPr>
                <w:rStyle w:val="Hyperlink"/>
                <w:b/>
              </w:rPr>
            </w:pPr>
            <w:r>
              <w:rPr>
                <w:rStyle w:val="Hyperlink"/>
                <w:b/>
              </w:rPr>
              <w:t>PROPONENT:</w:t>
            </w:r>
          </w:p>
        </w:tc>
        <w:tc>
          <w:tcPr>
            <w:tcW w:w="6361" w:type="dxa"/>
          </w:tcPr>
          <w:p w14:paraId="15AC62E5" w14:textId="380C735D" w:rsidR="00C114E7" w:rsidRPr="00785222" w:rsidRDefault="004509C2" w:rsidP="001926E2">
            <w:pPr>
              <w:pStyle w:val="AEMCTableCopySubmitterDetails"/>
              <w:rPr>
                <w:rStyle w:val="Hyperlink"/>
              </w:rPr>
            </w:pPr>
            <w:r>
              <w:rPr>
                <w:rStyle w:val="Hyperlink"/>
                <w:b/>
              </w:rPr>
              <w:t>Alinta Energy</w:t>
            </w:r>
          </w:p>
        </w:tc>
      </w:tr>
      <w:tr w:rsidR="00C114E7" w:rsidRPr="00A85F9E" w14:paraId="5EDBA678" w14:textId="77777777" w:rsidTr="001926E2">
        <w:tc>
          <w:tcPr>
            <w:tcW w:w="1560" w:type="dxa"/>
          </w:tcPr>
          <w:p w14:paraId="5D0CF1B7" w14:textId="77777777" w:rsidR="00C114E7" w:rsidRPr="00780BB3" w:rsidRDefault="00C114E7" w:rsidP="001926E2">
            <w:pPr>
              <w:pStyle w:val="AEMCTableCopySubmitterDetails"/>
              <w:rPr>
                <w:rStyle w:val="Hyperlink"/>
                <w:b/>
              </w:rPr>
            </w:pPr>
            <w:r>
              <w:rPr>
                <w:rStyle w:val="Hyperlink"/>
                <w:b/>
              </w:rPr>
              <w:t>SUBMISSION DUE DATE:</w:t>
            </w:r>
          </w:p>
        </w:tc>
        <w:tc>
          <w:tcPr>
            <w:tcW w:w="6361" w:type="dxa"/>
          </w:tcPr>
          <w:p w14:paraId="54A1D0FF" w14:textId="04B0EA9E" w:rsidR="00C114E7" w:rsidRPr="00785222" w:rsidRDefault="004509C2" w:rsidP="001926E2">
            <w:pPr>
              <w:pStyle w:val="AEMCTableCopySubmitterDetails"/>
              <w:rPr>
                <w:rStyle w:val="Hyperlink"/>
              </w:rPr>
            </w:pPr>
            <w:r>
              <w:rPr>
                <w:rStyle w:val="Hyperlink"/>
                <w:b/>
              </w:rPr>
              <w:t>13 October 2022</w:t>
            </w:r>
          </w:p>
        </w:tc>
      </w:tr>
    </w:tbl>
    <w:p w14:paraId="73B1C61B" w14:textId="4C5EB3AD" w:rsidR="00C114E7" w:rsidRPr="008A4886" w:rsidRDefault="00C114E7" w:rsidP="00C114E7">
      <w:pPr>
        <w:pStyle w:val="AEMCHeaderL4"/>
        <w:rPr>
          <w:rStyle w:val="Hyperlink"/>
        </w:rPr>
      </w:pPr>
      <w:r w:rsidRPr="008A4886">
        <w:rPr>
          <w:rStyle w:val="Hyperlink"/>
          <w:b/>
        </w:rPr>
        <w:t xml:space="preserve">CHAPTER </w:t>
      </w:r>
      <w:r w:rsidR="00B77E20">
        <w:rPr>
          <w:rStyle w:val="Hyperlink"/>
          <w:b/>
        </w:rPr>
        <w:t>3</w:t>
      </w:r>
      <w:r w:rsidRPr="008A4886">
        <w:rPr>
          <w:rStyle w:val="Hyperlink"/>
        </w:rPr>
        <w:t xml:space="preserve"> </w:t>
      </w:r>
      <w:r w:rsidR="00B878A7" w:rsidRPr="008A4886">
        <w:rPr>
          <w:rStyle w:val="Hyperlink"/>
        </w:rPr>
        <w:t xml:space="preserve">– </w:t>
      </w:r>
      <w:r w:rsidR="00B878A7">
        <w:rPr>
          <w:rStyle w:val="Hyperlink"/>
        </w:rPr>
        <w:t>TEMPORARY</w:t>
      </w:r>
      <w:r w:rsidR="00B77E20">
        <w:rPr>
          <w:rStyle w:val="Hyperlink"/>
        </w:rPr>
        <w:t xml:space="preserve"> level of </w:t>
      </w:r>
      <w:r w:rsidR="00FA75C2">
        <w:rPr>
          <w:rStyle w:val="Hyperlink"/>
        </w:rPr>
        <w:t>APC</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6548FE18" w14:textId="77777777" w:rsidTr="001C6966">
        <w:tc>
          <w:tcPr>
            <w:tcW w:w="2835" w:type="dxa"/>
            <w:tcBorders>
              <w:top w:val="single" w:sz="18" w:space="0" w:color="00A8E5" w:themeColor="accent1"/>
              <w:right w:val="single" w:sz="2" w:space="0" w:color="58595B" w:themeColor="accent4"/>
            </w:tcBorders>
            <w:shd w:val="clear" w:color="auto" w:fill="F6F6F6"/>
          </w:tcPr>
          <w:p w14:paraId="0609F06D" w14:textId="0A3A1D60" w:rsidR="0015555C" w:rsidRPr="0000465F" w:rsidRDefault="00531A0E" w:rsidP="007C525F">
            <w:pPr>
              <w:pStyle w:val="AEMCTableBodyCopy"/>
              <w:numPr>
                <w:ilvl w:val="0"/>
                <w:numId w:val="6"/>
              </w:numPr>
              <w:rPr>
                <w:rStyle w:val="Hyperlink"/>
              </w:rPr>
            </w:pPr>
            <w:r>
              <w:t>Do you agree that the proposed temporary level of $600/MWh would facilitate improved market operation and greater security and reliability during an APP? </w:t>
            </w:r>
          </w:p>
        </w:tc>
        <w:tc>
          <w:tcPr>
            <w:tcW w:w="5086" w:type="dxa"/>
            <w:tcBorders>
              <w:top w:val="single" w:sz="18" w:space="0" w:color="00A8E5" w:themeColor="accent1"/>
              <w:left w:val="single" w:sz="2" w:space="0" w:color="58595B" w:themeColor="accent4"/>
            </w:tcBorders>
          </w:tcPr>
          <w:p w14:paraId="46592764" w14:textId="285D8DE8" w:rsidR="0015555C" w:rsidRPr="00785222" w:rsidRDefault="0015555C" w:rsidP="00785222">
            <w:pPr>
              <w:pStyle w:val="AEMCTableBodyCopy"/>
              <w:rPr>
                <w:rStyle w:val="Hyperlink"/>
              </w:rPr>
            </w:pPr>
          </w:p>
        </w:tc>
      </w:tr>
      <w:tr w:rsidR="0015555C" w:rsidRPr="0000465F" w14:paraId="4CBC0120" w14:textId="77777777" w:rsidTr="001C6966">
        <w:tc>
          <w:tcPr>
            <w:tcW w:w="2835" w:type="dxa"/>
            <w:tcBorders>
              <w:right w:val="single" w:sz="2" w:space="0" w:color="58595B" w:themeColor="accent4"/>
            </w:tcBorders>
            <w:shd w:val="clear" w:color="auto" w:fill="F6F6F6"/>
          </w:tcPr>
          <w:p w14:paraId="3C48C599" w14:textId="25FA7E50" w:rsidR="0015555C" w:rsidRPr="0000465F" w:rsidRDefault="00531A0E" w:rsidP="007C525F">
            <w:pPr>
              <w:pStyle w:val="AEMCTableBodyCopy"/>
              <w:numPr>
                <w:ilvl w:val="0"/>
                <w:numId w:val="6"/>
              </w:numPr>
              <w:rPr>
                <w:rStyle w:val="Hyperlink"/>
              </w:rPr>
            </w:pPr>
            <w:r>
              <w:t>Would a level greater than or less than $600/MWh facilitate improved market operation security and reliability during an APP? Where different, please provide reasons for your answer?</w:t>
            </w:r>
          </w:p>
        </w:tc>
        <w:tc>
          <w:tcPr>
            <w:tcW w:w="5086" w:type="dxa"/>
            <w:tcBorders>
              <w:left w:val="single" w:sz="2" w:space="0" w:color="58595B" w:themeColor="accent4"/>
            </w:tcBorders>
          </w:tcPr>
          <w:p w14:paraId="4ED1411E" w14:textId="2819D82C" w:rsidR="0015555C" w:rsidRPr="00785222" w:rsidRDefault="0015555C" w:rsidP="00785222">
            <w:pPr>
              <w:pStyle w:val="AEMCTableBodyCopy"/>
              <w:rPr>
                <w:rStyle w:val="Hyperlink"/>
              </w:rPr>
            </w:pPr>
          </w:p>
        </w:tc>
      </w:tr>
    </w:tbl>
    <w:p w14:paraId="638411AC" w14:textId="3156C50C" w:rsidR="0015555C" w:rsidRDefault="0015555C" w:rsidP="0015555C">
      <w:pPr>
        <w:pStyle w:val="AEMCHeaderL4"/>
        <w:rPr>
          <w:rStyle w:val="Hyperlink"/>
        </w:rPr>
      </w:pPr>
      <w:r w:rsidRPr="0015555C">
        <w:rPr>
          <w:rStyle w:val="Hyperlink"/>
          <w:b/>
        </w:rPr>
        <w:lastRenderedPageBreak/>
        <w:t xml:space="preserve">CHAPTER </w:t>
      </w:r>
      <w:r w:rsidR="008F33C6">
        <w:rPr>
          <w:rStyle w:val="Hyperlink"/>
          <w:b/>
        </w:rPr>
        <w:t>3</w:t>
      </w:r>
      <w:r>
        <w:rPr>
          <w:rStyle w:val="Hyperlink"/>
        </w:rPr>
        <w:t xml:space="preserve"> –</w:t>
      </w:r>
      <w:r w:rsidR="00C114E7">
        <w:rPr>
          <w:rStyle w:val="Hyperlink"/>
        </w:rPr>
        <w:t xml:space="preserve"> </w:t>
      </w:r>
      <w:r w:rsidR="00B878A7">
        <w:rPr>
          <w:rStyle w:val="Hyperlink"/>
        </w:rPr>
        <w:t xml:space="preserve">Level of the </w:t>
      </w:r>
      <w:r w:rsidR="00FA75C2">
        <w:rPr>
          <w:rStyle w:val="Hyperlink"/>
        </w:rPr>
        <w:t>CPT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46D917" w14:textId="77777777" w:rsidTr="001C6966">
        <w:tc>
          <w:tcPr>
            <w:tcW w:w="2835" w:type="dxa"/>
            <w:tcBorders>
              <w:top w:val="single" w:sz="18" w:space="0" w:color="00A8E5" w:themeColor="accent1"/>
              <w:right w:val="single" w:sz="2" w:space="0" w:color="58595B" w:themeColor="accent4"/>
            </w:tcBorders>
            <w:shd w:val="clear" w:color="auto" w:fill="F6F6F6"/>
          </w:tcPr>
          <w:p w14:paraId="5CA6E6A6" w14:textId="7323F358" w:rsidR="0015555C" w:rsidRPr="0000465F" w:rsidRDefault="008F33C6" w:rsidP="007C525F">
            <w:pPr>
              <w:pStyle w:val="AEMCTableBodyCopy"/>
              <w:numPr>
                <w:ilvl w:val="0"/>
                <w:numId w:val="6"/>
              </w:numPr>
              <w:rPr>
                <w:rStyle w:val="Hyperlink"/>
              </w:rPr>
            </w:pPr>
            <w:r>
              <w:t>Do you agree that the level and escalation methodology of the CPT should remain unchanged in this rule change?</w:t>
            </w:r>
          </w:p>
        </w:tc>
        <w:tc>
          <w:tcPr>
            <w:tcW w:w="5086" w:type="dxa"/>
            <w:tcBorders>
              <w:top w:val="single" w:sz="18" w:space="0" w:color="00A8E5" w:themeColor="accent1"/>
              <w:left w:val="single" w:sz="2" w:space="0" w:color="58595B" w:themeColor="accent4"/>
            </w:tcBorders>
          </w:tcPr>
          <w:p w14:paraId="09EB4F1E" w14:textId="26CC1C18" w:rsidR="0015555C" w:rsidRPr="00785222" w:rsidRDefault="0015555C" w:rsidP="00785222">
            <w:pPr>
              <w:pStyle w:val="AEMCTableBodyCopy"/>
              <w:rPr>
                <w:rStyle w:val="Hyperlink"/>
              </w:rPr>
            </w:pPr>
          </w:p>
        </w:tc>
      </w:tr>
      <w:tr w:rsidR="0015555C" w:rsidRPr="0000465F" w14:paraId="5AFF554C" w14:textId="77777777" w:rsidTr="001C6966">
        <w:tc>
          <w:tcPr>
            <w:tcW w:w="2835" w:type="dxa"/>
            <w:tcBorders>
              <w:right w:val="single" w:sz="2" w:space="0" w:color="58595B" w:themeColor="accent4"/>
            </w:tcBorders>
            <w:shd w:val="clear" w:color="auto" w:fill="F6F6F6"/>
          </w:tcPr>
          <w:p w14:paraId="7002FAC1" w14:textId="2A35AD96" w:rsidR="0015555C" w:rsidRPr="0000465F" w:rsidRDefault="008F33C6" w:rsidP="007C525F">
            <w:pPr>
              <w:pStyle w:val="AEMCTableBodyCopy"/>
              <w:numPr>
                <w:ilvl w:val="0"/>
                <w:numId w:val="6"/>
              </w:numPr>
              <w:rPr>
                <w:rStyle w:val="Hyperlink"/>
              </w:rPr>
            </w:pPr>
            <w:r>
              <w:t>Do you agree that any changes to the method of calculation of the cumulative price, is a matter best left to the Reliability Panel?</w:t>
            </w:r>
          </w:p>
        </w:tc>
        <w:tc>
          <w:tcPr>
            <w:tcW w:w="5086" w:type="dxa"/>
            <w:tcBorders>
              <w:left w:val="single" w:sz="2" w:space="0" w:color="58595B" w:themeColor="accent4"/>
            </w:tcBorders>
          </w:tcPr>
          <w:p w14:paraId="3D5AAF2E" w14:textId="52ABE063" w:rsidR="0015555C" w:rsidRPr="00785222" w:rsidRDefault="0015555C" w:rsidP="00785222">
            <w:pPr>
              <w:pStyle w:val="AEMCTableBodyCopy"/>
              <w:rPr>
                <w:rStyle w:val="Hyperlink"/>
              </w:rPr>
            </w:pPr>
          </w:p>
        </w:tc>
      </w:tr>
    </w:tbl>
    <w:p w14:paraId="1F9C2734" w14:textId="292D62DC" w:rsidR="00DD0B3D" w:rsidRDefault="00DD0B3D" w:rsidP="00DD0B3D">
      <w:pPr>
        <w:pStyle w:val="AEMCHeaderL4"/>
        <w:rPr>
          <w:rStyle w:val="Hyperlink"/>
        </w:rPr>
      </w:pPr>
      <w:r w:rsidRPr="0015555C">
        <w:rPr>
          <w:rStyle w:val="Hyperlink"/>
          <w:b/>
        </w:rPr>
        <w:t xml:space="preserve">CHAPTER </w:t>
      </w:r>
      <w:r w:rsidR="004D4686">
        <w:rPr>
          <w:rStyle w:val="Hyperlink"/>
          <w:b/>
        </w:rPr>
        <w:t>3</w:t>
      </w:r>
      <w:r>
        <w:rPr>
          <w:rStyle w:val="Hyperlink"/>
        </w:rPr>
        <w:t xml:space="preserve"> –</w:t>
      </w:r>
      <w:r w:rsidR="00C114E7">
        <w:rPr>
          <w:rStyle w:val="Hyperlink"/>
        </w:rPr>
        <w:t xml:space="preserve"> </w:t>
      </w:r>
      <w:r w:rsidR="004900FE">
        <w:rPr>
          <w:rStyle w:val="Hyperlink"/>
        </w:rPr>
        <w:t xml:space="preserve">timeframe of </w:t>
      </w:r>
      <w:r w:rsidR="00FA75C2">
        <w:rPr>
          <w:rStyle w:val="Hyperlink"/>
        </w:rPr>
        <w:t>APC</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6BD0472D" w14:textId="77777777" w:rsidTr="001C6966">
        <w:tc>
          <w:tcPr>
            <w:tcW w:w="2835" w:type="dxa"/>
            <w:tcBorders>
              <w:top w:val="single" w:sz="18" w:space="0" w:color="00A8E5" w:themeColor="accent1"/>
              <w:right w:val="single" w:sz="2" w:space="0" w:color="58595B" w:themeColor="accent4"/>
            </w:tcBorders>
            <w:shd w:val="clear" w:color="auto" w:fill="F6F6F6"/>
          </w:tcPr>
          <w:p w14:paraId="4498C7DD" w14:textId="76F952D0" w:rsidR="0015555C" w:rsidRPr="0000465F" w:rsidRDefault="004900FE" w:rsidP="007C525F">
            <w:pPr>
              <w:pStyle w:val="AEMCTableBodyCopy"/>
              <w:numPr>
                <w:ilvl w:val="0"/>
                <w:numId w:val="6"/>
              </w:numPr>
              <w:rPr>
                <w:rStyle w:val="Hyperlink"/>
              </w:rPr>
            </w:pPr>
            <w:r w:rsidRPr="004900FE">
              <w:rPr>
                <w:rStyle w:val="Hyperlink"/>
              </w:rPr>
              <w:t>Do you agree that the proposed temporary level of $600/MWh should apply until 1 July 2025?</w:t>
            </w:r>
          </w:p>
        </w:tc>
        <w:tc>
          <w:tcPr>
            <w:tcW w:w="5086" w:type="dxa"/>
            <w:tcBorders>
              <w:top w:val="single" w:sz="18" w:space="0" w:color="00A8E5" w:themeColor="accent1"/>
              <w:left w:val="single" w:sz="2" w:space="0" w:color="58595B" w:themeColor="accent4"/>
            </w:tcBorders>
          </w:tcPr>
          <w:p w14:paraId="34383830" w14:textId="1671F0AE" w:rsidR="0015555C" w:rsidRPr="00785222" w:rsidRDefault="0015555C" w:rsidP="00785222">
            <w:pPr>
              <w:pStyle w:val="AEMCTableBodyCopy"/>
              <w:rPr>
                <w:rStyle w:val="Hyperlink"/>
              </w:rPr>
            </w:pPr>
          </w:p>
        </w:tc>
      </w:tr>
      <w:tr w:rsidR="0015555C" w:rsidRPr="0000465F" w14:paraId="66F4C7A0" w14:textId="77777777" w:rsidTr="001C6966">
        <w:tc>
          <w:tcPr>
            <w:tcW w:w="2835" w:type="dxa"/>
            <w:tcBorders>
              <w:right w:val="single" w:sz="2" w:space="0" w:color="58595B" w:themeColor="accent4"/>
            </w:tcBorders>
            <w:shd w:val="clear" w:color="auto" w:fill="F6F6F6"/>
          </w:tcPr>
          <w:p w14:paraId="6A71DB2D" w14:textId="0CC37D28" w:rsidR="0015555C" w:rsidRPr="0000465F" w:rsidRDefault="004900FE" w:rsidP="007C525F">
            <w:pPr>
              <w:pStyle w:val="AEMCTableBodyCopy"/>
              <w:numPr>
                <w:ilvl w:val="0"/>
                <w:numId w:val="6"/>
              </w:numPr>
              <w:rPr>
                <w:rStyle w:val="Hyperlink"/>
              </w:rPr>
            </w:pPr>
            <w:r w:rsidRPr="004900FE">
              <w:rPr>
                <w:rStyle w:val="Hyperlink"/>
              </w:rPr>
              <w:t>Is there any other period of application of a temporary level of APC that would be more appropriate? If so, please provide reasons for your answer.</w:t>
            </w:r>
          </w:p>
        </w:tc>
        <w:tc>
          <w:tcPr>
            <w:tcW w:w="5086" w:type="dxa"/>
            <w:tcBorders>
              <w:left w:val="single" w:sz="2" w:space="0" w:color="58595B" w:themeColor="accent4"/>
            </w:tcBorders>
          </w:tcPr>
          <w:p w14:paraId="2CF25006" w14:textId="1F6F0B4E" w:rsidR="0015555C" w:rsidRPr="00785222" w:rsidRDefault="0015555C" w:rsidP="00785222">
            <w:pPr>
              <w:pStyle w:val="AEMCTableBodyCopy"/>
              <w:rPr>
                <w:rStyle w:val="Hyperlink"/>
              </w:rPr>
            </w:pPr>
          </w:p>
        </w:tc>
      </w:tr>
    </w:tbl>
    <w:p w14:paraId="0F8D62DA" w14:textId="1A842591" w:rsidR="004900FE" w:rsidRPr="004900FE" w:rsidRDefault="004900FE" w:rsidP="00C114E7">
      <w:pPr>
        <w:pStyle w:val="AEMCHeaderL4"/>
        <w:rPr>
          <w:rStyle w:val="Hyperlink"/>
        </w:rPr>
      </w:pPr>
      <w:r w:rsidRPr="0015555C">
        <w:rPr>
          <w:rStyle w:val="Hyperlink"/>
          <w:b/>
        </w:rPr>
        <w:t xml:space="preserve">CHAPTER </w:t>
      </w:r>
      <w:r>
        <w:rPr>
          <w:rStyle w:val="Hyperlink"/>
          <w:b/>
        </w:rPr>
        <w:t>3</w:t>
      </w:r>
      <w:r>
        <w:rPr>
          <w:rStyle w:val="Hyperlink"/>
        </w:rPr>
        <w:t xml:space="preserve"> – </w:t>
      </w:r>
      <w:r w:rsidR="007907CB">
        <w:rPr>
          <w:rStyle w:val="Hyperlink"/>
        </w:rPr>
        <w:t>impacts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4900FE" w:rsidRPr="0000465F" w14:paraId="7729F4CC" w14:textId="77777777" w:rsidTr="00544436">
        <w:tc>
          <w:tcPr>
            <w:tcW w:w="2835" w:type="dxa"/>
            <w:tcBorders>
              <w:top w:val="single" w:sz="18" w:space="0" w:color="00A8E5" w:themeColor="accent1"/>
              <w:right w:val="single" w:sz="2" w:space="0" w:color="58595B" w:themeColor="accent4"/>
            </w:tcBorders>
            <w:shd w:val="clear" w:color="auto" w:fill="F6F6F6"/>
          </w:tcPr>
          <w:p w14:paraId="51860EE7" w14:textId="058CAF8B" w:rsidR="004900FE" w:rsidRPr="0000465F" w:rsidRDefault="007907CB" w:rsidP="00544436">
            <w:pPr>
              <w:pStyle w:val="AEMCTableBodyCopy"/>
              <w:numPr>
                <w:ilvl w:val="0"/>
                <w:numId w:val="6"/>
              </w:numPr>
              <w:rPr>
                <w:rStyle w:val="Hyperlink"/>
              </w:rPr>
            </w:pPr>
            <w:r>
              <w:t xml:space="preserve">Do you agree that the impact of a change on the level of the APC for a temporary </w:t>
            </w:r>
            <w:proofErr w:type="gramStart"/>
            <w:r>
              <w:t>time period</w:t>
            </w:r>
            <w:proofErr w:type="gramEnd"/>
            <w:r>
              <w:t xml:space="preserve"> will have a relatively minor impact on the contract market based on observed price levels during June 2022's events? </w:t>
            </w:r>
          </w:p>
        </w:tc>
        <w:tc>
          <w:tcPr>
            <w:tcW w:w="5086" w:type="dxa"/>
            <w:tcBorders>
              <w:top w:val="single" w:sz="18" w:space="0" w:color="00A8E5" w:themeColor="accent1"/>
              <w:left w:val="single" w:sz="2" w:space="0" w:color="58595B" w:themeColor="accent4"/>
            </w:tcBorders>
          </w:tcPr>
          <w:p w14:paraId="1EF6A523" w14:textId="77777777" w:rsidR="004900FE" w:rsidRPr="00785222" w:rsidRDefault="004900FE" w:rsidP="00544436">
            <w:pPr>
              <w:pStyle w:val="AEMCTableBodyCopy"/>
              <w:rPr>
                <w:rStyle w:val="Hyperlink"/>
              </w:rPr>
            </w:pPr>
          </w:p>
        </w:tc>
      </w:tr>
      <w:tr w:rsidR="004900FE" w:rsidRPr="0000465F" w14:paraId="77F07313" w14:textId="77777777" w:rsidTr="00544436">
        <w:tc>
          <w:tcPr>
            <w:tcW w:w="2835" w:type="dxa"/>
            <w:tcBorders>
              <w:right w:val="single" w:sz="2" w:space="0" w:color="58595B" w:themeColor="accent4"/>
            </w:tcBorders>
            <w:shd w:val="clear" w:color="auto" w:fill="F6F6F6"/>
          </w:tcPr>
          <w:p w14:paraId="1FA12215" w14:textId="5E7C2BE8" w:rsidR="004900FE" w:rsidRPr="0000465F" w:rsidRDefault="007907CB" w:rsidP="00544436">
            <w:pPr>
              <w:pStyle w:val="AEMCTableBodyCopy"/>
              <w:numPr>
                <w:ilvl w:val="0"/>
                <w:numId w:val="6"/>
              </w:numPr>
              <w:rPr>
                <w:rStyle w:val="Hyperlink"/>
              </w:rPr>
            </w:pPr>
            <w:r>
              <w:t>Is this a fair reflection of the likely impact on the contract market of any change? Should any other factors be considered?</w:t>
            </w:r>
          </w:p>
        </w:tc>
        <w:tc>
          <w:tcPr>
            <w:tcW w:w="5086" w:type="dxa"/>
            <w:tcBorders>
              <w:left w:val="single" w:sz="2" w:space="0" w:color="58595B" w:themeColor="accent4"/>
            </w:tcBorders>
          </w:tcPr>
          <w:p w14:paraId="03A54FBB" w14:textId="77777777" w:rsidR="004900FE" w:rsidRPr="00785222" w:rsidRDefault="004900FE" w:rsidP="00544436">
            <w:pPr>
              <w:pStyle w:val="AEMCTableBodyCopy"/>
              <w:rPr>
                <w:rStyle w:val="Hyperlink"/>
              </w:rPr>
            </w:pPr>
          </w:p>
        </w:tc>
      </w:tr>
      <w:tr w:rsidR="007907CB" w:rsidRPr="0000465F" w14:paraId="6E13C1A6" w14:textId="77777777" w:rsidTr="00544436">
        <w:tc>
          <w:tcPr>
            <w:tcW w:w="2835" w:type="dxa"/>
            <w:tcBorders>
              <w:right w:val="single" w:sz="2" w:space="0" w:color="58595B" w:themeColor="accent4"/>
            </w:tcBorders>
            <w:shd w:val="clear" w:color="auto" w:fill="F6F6F6"/>
          </w:tcPr>
          <w:p w14:paraId="79AFFC30" w14:textId="6F04F07C" w:rsidR="007907CB" w:rsidRDefault="00FA75C2" w:rsidP="00544436">
            <w:pPr>
              <w:pStyle w:val="AEMCTableBodyCopy"/>
              <w:numPr>
                <w:ilvl w:val="0"/>
                <w:numId w:val="6"/>
              </w:numPr>
            </w:pPr>
            <w:r>
              <w:t>Do you agree that the impact of a change on retailer and end user costs is likely to be positive, provided retailers and end users are adequately hedged? If not, please state reasons for your answer? </w:t>
            </w:r>
          </w:p>
        </w:tc>
        <w:tc>
          <w:tcPr>
            <w:tcW w:w="5086" w:type="dxa"/>
            <w:tcBorders>
              <w:left w:val="single" w:sz="2" w:space="0" w:color="58595B" w:themeColor="accent4"/>
            </w:tcBorders>
          </w:tcPr>
          <w:p w14:paraId="6F6AC4FB" w14:textId="77777777" w:rsidR="007907CB" w:rsidRPr="00785222" w:rsidRDefault="007907CB" w:rsidP="00544436">
            <w:pPr>
              <w:pStyle w:val="AEMCTableBodyCopy"/>
              <w:rPr>
                <w:rStyle w:val="Hyperlink"/>
              </w:rPr>
            </w:pPr>
          </w:p>
        </w:tc>
      </w:tr>
    </w:tbl>
    <w:p w14:paraId="579B2FF9" w14:textId="3E15F7FF"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42A5EC74" w14:textId="77777777" w:rsidTr="001926E2">
        <w:tc>
          <w:tcPr>
            <w:tcW w:w="2835" w:type="dxa"/>
            <w:tcBorders>
              <w:top w:val="single" w:sz="18" w:space="0" w:color="00A8E5" w:themeColor="accent1"/>
              <w:right w:val="single" w:sz="2" w:space="0" w:color="58595B" w:themeColor="accent4"/>
            </w:tcBorders>
            <w:shd w:val="clear" w:color="auto" w:fill="F6F6F6"/>
          </w:tcPr>
          <w:p w14:paraId="778C3E0B" w14:textId="77777777" w:rsidR="00C114E7" w:rsidRPr="0000465F" w:rsidRDefault="00C114E7" w:rsidP="00C114E7">
            <w:pPr>
              <w:pStyle w:val="AEMCTableBodyCopy"/>
              <w:numPr>
                <w:ilvl w:val="0"/>
                <w:numId w:val="6"/>
              </w:numPr>
              <w:rPr>
                <w:rStyle w:val="Hyperlink"/>
              </w:rPr>
            </w:pPr>
            <w:r>
              <w:rPr>
                <w:rStyle w:val="Hyperlink"/>
              </w:rPr>
              <w:t>Information on additional issues</w:t>
            </w:r>
          </w:p>
        </w:tc>
        <w:tc>
          <w:tcPr>
            <w:tcW w:w="5086" w:type="dxa"/>
            <w:tcBorders>
              <w:top w:val="single" w:sz="18" w:space="0" w:color="00A8E5" w:themeColor="accent1"/>
              <w:left w:val="single" w:sz="2" w:space="0" w:color="58595B" w:themeColor="accent4"/>
            </w:tcBorders>
          </w:tcPr>
          <w:p w14:paraId="5A351CFD" w14:textId="289E0ED6" w:rsidR="00C114E7" w:rsidRPr="00785222" w:rsidRDefault="00C114E7" w:rsidP="001926E2">
            <w:pPr>
              <w:pStyle w:val="AEMCTableBodyCopy"/>
              <w:rPr>
                <w:rStyle w:val="Hyperlink"/>
              </w:rPr>
            </w:pPr>
          </w:p>
        </w:tc>
      </w:tr>
    </w:tbl>
    <w:p w14:paraId="726CF01C" w14:textId="77777777" w:rsidR="00C114E7" w:rsidRPr="0015555C" w:rsidRDefault="00C114E7" w:rsidP="0015555C">
      <w:pPr>
        <w:pStyle w:val="AEMCBodyCopy"/>
      </w:pPr>
    </w:p>
    <w:sectPr w:rsidR="00C114E7" w:rsidRPr="0015555C" w:rsidSect="00EB47DB">
      <w:headerReference w:type="default" r:id="rId9"/>
      <w:footerReference w:type="default" r:id="rId10"/>
      <w:headerReference w:type="first" r:id="rId11"/>
      <w:footerReference w:type="first" r:id="rId12"/>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4163" w14:textId="77777777" w:rsidR="004509C2" w:rsidRDefault="004509C2" w:rsidP="00E768E2">
      <w:r>
        <w:separator/>
      </w:r>
    </w:p>
    <w:p w14:paraId="3EE62EFC" w14:textId="77777777" w:rsidR="004509C2" w:rsidRDefault="004509C2" w:rsidP="00E768E2"/>
    <w:p w14:paraId="1FA53FFB" w14:textId="77777777" w:rsidR="004509C2" w:rsidRDefault="004509C2" w:rsidP="00E768E2"/>
    <w:p w14:paraId="21945022" w14:textId="77777777" w:rsidR="004509C2" w:rsidRDefault="004509C2" w:rsidP="00E768E2"/>
    <w:p w14:paraId="51D2FAEC" w14:textId="77777777" w:rsidR="004509C2" w:rsidRDefault="004509C2"/>
    <w:p w14:paraId="25F11005" w14:textId="77777777" w:rsidR="004509C2" w:rsidRDefault="004509C2"/>
  </w:endnote>
  <w:endnote w:type="continuationSeparator" w:id="0">
    <w:p w14:paraId="237B2AE4" w14:textId="77777777" w:rsidR="004509C2" w:rsidRDefault="004509C2" w:rsidP="00E768E2">
      <w:r>
        <w:continuationSeparator/>
      </w:r>
    </w:p>
    <w:p w14:paraId="472934E9" w14:textId="77777777" w:rsidR="004509C2" w:rsidRDefault="004509C2" w:rsidP="00E768E2"/>
    <w:p w14:paraId="12DF9E72" w14:textId="77777777" w:rsidR="004509C2" w:rsidRDefault="004509C2" w:rsidP="00E768E2"/>
    <w:p w14:paraId="27CE400D" w14:textId="77777777" w:rsidR="004509C2" w:rsidRDefault="004509C2" w:rsidP="00E768E2"/>
    <w:p w14:paraId="2E7BF4E3" w14:textId="77777777" w:rsidR="004509C2" w:rsidRDefault="004509C2"/>
    <w:p w14:paraId="646E6AD9" w14:textId="77777777" w:rsidR="004509C2" w:rsidRDefault="00450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90C2"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A5DC"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576F" w14:textId="77777777" w:rsidR="004509C2" w:rsidRDefault="004509C2">
      <w:r>
        <w:separator/>
      </w:r>
    </w:p>
  </w:footnote>
  <w:footnote w:type="continuationSeparator" w:id="0">
    <w:p w14:paraId="01A12616" w14:textId="77777777" w:rsidR="004509C2" w:rsidRDefault="004509C2" w:rsidP="00E768E2">
      <w:r>
        <w:continuationSeparator/>
      </w:r>
    </w:p>
    <w:p w14:paraId="1E3ED3C4" w14:textId="77777777" w:rsidR="004509C2" w:rsidRDefault="004509C2" w:rsidP="00E768E2"/>
    <w:p w14:paraId="6B4EBB67" w14:textId="77777777" w:rsidR="004509C2" w:rsidRDefault="004509C2" w:rsidP="00E768E2"/>
    <w:p w14:paraId="46784269" w14:textId="77777777" w:rsidR="004509C2" w:rsidRDefault="004509C2" w:rsidP="00E768E2"/>
    <w:p w14:paraId="0E988C3E" w14:textId="77777777" w:rsidR="004509C2" w:rsidRDefault="004509C2"/>
    <w:p w14:paraId="0D48CEB0" w14:textId="77777777" w:rsidR="004509C2" w:rsidRDefault="00450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14:paraId="59581180" w14:textId="77777777" w:rsidTr="00C14DB5">
      <w:trPr>
        <w:trHeight w:val="680"/>
      </w:trPr>
      <w:tc>
        <w:tcPr>
          <w:tcW w:w="8147" w:type="dxa"/>
        </w:tcPr>
        <w:p w14:paraId="30E6FA57" w14:textId="77777777" w:rsidR="00D260FB" w:rsidRPr="00D260FB" w:rsidRDefault="005E638A" w:rsidP="00D260FB">
          <w:pPr>
            <w:pStyle w:val="Header"/>
            <w:ind w:left="85"/>
            <w:rPr>
              <w:b/>
              <w:lang w:val="en-AU"/>
            </w:rPr>
          </w:pPr>
          <w:r>
            <w:rPr>
              <w:b/>
              <w:lang w:val="en-AU"/>
            </w:rPr>
            <w:t>Stakeholder feedback</w:t>
          </w:r>
        </w:p>
        <w:p w14:paraId="3B12BFE2" w14:textId="371E8340" w:rsidR="00D260FB" w:rsidRDefault="004D4686" w:rsidP="00D260FB">
          <w:pPr>
            <w:pStyle w:val="Header"/>
            <w:ind w:left="85"/>
            <w:rPr>
              <w:lang w:val="en-AU"/>
            </w:rPr>
          </w:pPr>
          <w:r>
            <w:rPr>
              <w:lang w:val="en-AU"/>
            </w:rPr>
            <w:t>October 2022</w:t>
          </w:r>
        </w:p>
      </w:tc>
    </w:tr>
  </w:tbl>
  <w:p w14:paraId="22A43185"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65408" behindDoc="1" locked="0" layoutInCell="1" allowOverlap="1" wp14:anchorId="7ABAFF8F" wp14:editId="72EB0FA6">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5305678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11627C3E"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FF8F" id="_x0000_t202" coordsize="21600,21600" o:spt="202" path="m,l,21600r21600,l21600,xe">
              <v:stroke joinstyle="miter"/>
              <v:path gradientshapeok="t" o:connecttype="rect"/>
            </v:shapetype>
            <v:shape id="Text Box 3" o:spid="_x0000_s1026" type="#_x0000_t202" style="position:absolute;margin-left:56.65pt;margin-top:44pt;width:68pt;height:3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5305678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11627C3E"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F3E9"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3EC45980" wp14:editId="0DAA69A1">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FC790"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5DA30F11" wp14:editId="5385E740">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6382805">
    <w:abstractNumId w:val="5"/>
  </w:num>
  <w:num w:numId="2" w16cid:durableId="185407666">
    <w:abstractNumId w:val="3"/>
  </w:num>
  <w:num w:numId="3" w16cid:durableId="1435051868">
    <w:abstractNumId w:val="1"/>
  </w:num>
  <w:num w:numId="4" w16cid:durableId="138116955">
    <w:abstractNumId w:val="2"/>
  </w:num>
  <w:num w:numId="5" w16cid:durableId="339160868">
    <w:abstractNumId w:val="6"/>
  </w:num>
  <w:num w:numId="6" w16cid:durableId="1952319192">
    <w:abstractNumId w:val="7"/>
  </w:num>
  <w:num w:numId="7" w16cid:durableId="2003463834">
    <w:abstractNumId w:val="4"/>
  </w:num>
  <w:num w:numId="8" w16cid:durableId="631406329">
    <w:abstractNumId w:val="4"/>
    <w:lvlOverride w:ilvl="0">
      <w:startOverride w:val="1"/>
    </w:lvlOverride>
  </w:num>
  <w:num w:numId="9" w16cid:durableId="309754476">
    <w:abstractNumId w:val="8"/>
  </w:num>
  <w:num w:numId="10" w16cid:durableId="789781920">
    <w:abstractNumId w:val="0"/>
  </w:num>
  <w:num w:numId="11" w16cid:durableId="16242869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09C2"/>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3A37"/>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09C2"/>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00FE"/>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686"/>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A0E"/>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07CB"/>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3C6"/>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77E20"/>
    <w:rsid w:val="00B80102"/>
    <w:rsid w:val="00B80856"/>
    <w:rsid w:val="00B81FC4"/>
    <w:rsid w:val="00B83BF1"/>
    <w:rsid w:val="00B842D4"/>
    <w:rsid w:val="00B845BC"/>
    <w:rsid w:val="00B848F0"/>
    <w:rsid w:val="00B85B6B"/>
    <w:rsid w:val="00B85E01"/>
    <w:rsid w:val="00B85F53"/>
    <w:rsid w:val="00B862F0"/>
    <w:rsid w:val="00B8682E"/>
    <w:rsid w:val="00B8756B"/>
    <w:rsid w:val="00B878A7"/>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A75C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316FB"/>
  <w15:docId w15:val="{B9A19DE9-D234-4C55-B64B-18EC7F2B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tafa.kaka\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FA1429E254AEBB489D86111B4590EE3C" ma:contentTypeVersion="6" ma:contentTypeDescription="Create a new document." ma:contentTypeScope="" ma:versionID="a77122ba2c344ecbb8c1a3e9824a9eb9">
  <xsd:schema xmlns:xsd="http://www.w3.org/2001/XMLSchema" xmlns:xs="http://www.w3.org/2001/XMLSchema" xmlns:p="http://schemas.microsoft.com/office/2006/metadata/properties" xmlns:ns2="3f9fbb6d-4e94-4c7e-b7bb-a3840059b802" xmlns:ns3="4be5cd27-1c96-43a6-a3d4-2c521b5296f7" targetNamespace="http://schemas.microsoft.com/office/2006/metadata/properties" ma:root="true" ma:fieldsID="d98f088d044245cfc659933f0c3294d2" ns2:_="" ns3:_="">
    <xsd:import namespace="3f9fbb6d-4e94-4c7e-b7bb-a3840059b802"/>
    <xsd:import namespace="4be5cd27-1c96-43a6-a3d4-2c521b529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fbb6d-4e94-4c7e-b7bb-a3840059b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5cd27-1c96-43a6-a3d4-2c521b5296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2.xml><?xml version="1.0" encoding="utf-8"?>
<ds:datastoreItem xmlns:ds="http://schemas.openxmlformats.org/officeDocument/2006/customXml" ds:itemID="{E7645E41-208F-4662-B1A7-44B56C93707F}">
  <ds:schemaRefs>
    <ds:schemaRef ds:uri="http://www.w3.org/2001/XMLSchema"/>
  </ds:schemaRefs>
</ds:datastoreItem>
</file>

<file path=customXml/itemProps3.xml><?xml version="1.0" encoding="utf-8"?>
<ds:datastoreItem xmlns:ds="http://schemas.openxmlformats.org/officeDocument/2006/customXml" ds:itemID="{382433A1-9139-4CD9-BE56-92D45E66B4DE}"/>
</file>

<file path=customXml/itemProps4.xml><?xml version="1.0" encoding="utf-8"?>
<ds:datastoreItem xmlns:ds="http://schemas.openxmlformats.org/officeDocument/2006/customXml" ds:itemID="{B86F9332-1736-4C64-BCF5-D1289A3927A0}"/>
</file>

<file path=customXml/itemProps5.xml><?xml version="1.0" encoding="utf-8"?>
<ds:datastoreItem xmlns:ds="http://schemas.openxmlformats.org/officeDocument/2006/customXml" ds:itemID="{1B2A59DD-EA04-41E4-A03C-26CD83978697}"/>
</file>

<file path=docProps/app.xml><?xml version="1.0" encoding="utf-8"?>
<Properties xmlns="http://schemas.openxmlformats.org/officeDocument/2006/extended-properties" xmlns:vt="http://schemas.openxmlformats.org/officeDocument/2006/docPropsVTypes">
  <Template>Stakeholder Submissions Template.DOTX</Template>
  <TotalTime>46</TotalTime>
  <Pages>2</Pages>
  <Words>389</Words>
  <Characters>2000</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Mustafa Kaka</dc:creator>
  <cp:lastModifiedBy>Mustafa Kaka</cp:lastModifiedBy>
  <cp:revision>9</cp:revision>
  <cp:lastPrinted>2016-04-17T05:54:00Z</cp:lastPrinted>
  <dcterms:created xsi:type="dcterms:W3CDTF">2022-09-26T00:53:00Z</dcterms:created>
  <dcterms:modified xsi:type="dcterms:W3CDTF">2022-09-26T01:40:00Z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43126e7e-7800-4c50-8ae1-df8dfe390a94</vt:lpwstr>
  </property>
  <property fmtid="{D5CDD505-2E9C-101B-9397-08002B2CF9AE}" pid="3" name="ContentTypeId">
    <vt:lpwstr>0x010100FA1429E254AEBB489D86111B4590EE3C</vt:lpwstr>
  </property>
</Properties>
</file>