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EMR-Pt-Title"/>
      </w:pPr>
      <w:bookmarkStart w:id="0" w:name="_cfd0fe88-8ec3-46b2-ac95-bdfa3642d692"/>
      <w:bookmarkEnd w:id="0"/>
      <w:bookmarkStart w:id="1" w:name="_Toc256000248"/>
      <w:r>
        <w:rPr>
          <w:rStyle w:val="EMR-Pt-Num-Text"/>
          <w:b/>
        </w:rPr>
        <w:t>Part 11</w:t>
        <w:tab/>
      </w:r>
      <w:r>
        <w:rPr>
          <w:rStyle w:val="EMR-Pt-Title-Text"/>
          <w:b/>
        </w:rPr>
        <w:t>Customer retail contracts—electricity consumption benchmarks</w:t>
      </w:r>
      <w:bookmarkEnd w:id="1"/>
    </w:p>
    <w:p>
      <w:pPr>
        <w:pStyle w:val="EMR-Rule-Title-Lvl-2"/>
      </w:pPr>
      <w:bookmarkStart w:id="2" w:name="_Toc256000249"/>
      <w:r>
        <w:t>168</w:t>
        <w:tab/>
      </w:r>
      <w:r>
        <w:t>Purpose of this Part</w:t>
      </w:r>
      <w:bookmarkEnd w:id="2"/>
    </w:p>
    <w:p>
      <w:pPr>
        <w:pStyle w:val="NER-RC-Para"/>
      </w:pPr>
      <w:r>
        <w:t>This Part provides for electricity consumption benchmarks for residential customers under a customer retail contract.</w:t>
      </w:r>
    </w:p>
    <w:p>
      <w:pPr>
        <w:pStyle w:val="EMR-Rule-Title-Lvl-2"/>
      </w:pPr>
      <w:bookmarkStart w:id="3" w:name="_Toc256000250"/>
      <w:r>
        <w:t>169</w:t>
        <w:tab/>
      </w:r>
      <w:r>
        <w:t>AER administration of electricity consumption benchmarks</w:t>
      </w:r>
      <w:bookmarkEnd w:id="3"/>
    </w:p>
    <w:p>
      <w:pPr>
        <w:pStyle w:val="EMR-Subrule"/>
      </w:pPr>
      <w:r>
        <w:t>(1)</w:t>
        <w:tab/>
      </w:r>
      <w:r>
        <w:t>The AER must provide the initial benchmarks to retailers and publish those benchmarks on its website.</w:t>
      </w:r>
    </w:p>
    <w:p>
      <w:pPr>
        <w:pStyle w:val="EMR-Subrule"/>
      </w:pPr>
      <w:r>
        <w:t>(2)</w:t>
        <w:tab/>
      </w:r>
      <w:r>
        <w:t xml:space="preserve">Following publication of the initial benchmarks under subrule </w:t>
      </w:r>
      <w:r>
        <w:t>(1)</w:t>
      </w:r>
      <w:r>
        <w:t>, the AER must prepare subsequent benchmarks for the consumption of electricity (electricity consumption benchmarks) by residential customers in accordance with this rule.</w:t>
      </w:r>
    </w:p>
    <w:p>
      <w:pPr>
        <w:pStyle w:val="EMR-Subrule"/>
      </w:pPr>
      <w:r>
        <w:t>(3)</w:t>
        <w:tab/>
      </w:r>
      <w:r>
        <w:t>The electricity consumption benchmarks must be based on the following:</w:t>
      </w:r>
    </w:p>
    <w:p>
      <w:pPr>
        <w:pStyle w:val="NER-RC-List-1-MNum"/>
      </w:pPr>
      <w:r>
        <w:t>(a)</w:t>
        <w:tab/>
      </w:r>
      <w:r>
        <w:t xml:space="preserve">electricity consumption information received by the AER from distributors pursuant to rule </w:t>
      </w:r>
      <w:r>
        <w:t>171</w:t>
      </w:r>
      <w:r>
        <w:t>;</w:t>
      </w:r>
    </w:p>
    <w:p>
      <w:pPr>
        <w:pStyle w:val="NER-RC-List-1-MNum"/>
      </w:pPr>
      <w:r>
        <w:t>(b)</w:t>
        <w:tab/>
      </w:r>
      <w:r>
        <w:t>localised zones as determined and notified to the AER by the relevant jurisdictional Minister;</w:t>
      </w:r>
    </w:p>
    <w:p>
      <w:pPr>
        <w:pStyle w:val="NER-RC-List-1-MNum"/>
      </w:pPr>
      <w:r>
        <w:t>(c)</w:t>
        <w:tab/>
      </w:r>
      <w:r>
        <w:t>household size.</w:t>
      </w:r>
    </w:p>
    <w:p>
      <w:pPr>
        <w:pStyle w:val="EMR-Subrule"/>
      </w:pPr>
      <w:r>
        <w:t>(4)</w:t>
        <w:tab/>
      </w:r>
      <w:r>
        <w:t>The AER must:</w:t>
      </w:r>
    </w:p>
    <w:p>
      <w:pPr>
        <w:pStyle w:val="NER-RC-List-1-MNum"/>
      </w:pPr>
      <w:r>
        <w:t>(a)</w:t>
        <w:tab/>
      </w:r>
      <w:r>
        <w:t>provide the electricity consumption benchmarks to retailers; and</w:t>
      </w:r>
    </w:p>
    <w:p>
      <w:pPr>
        <w:pStyle w:val="NER-RC-List-1-MNum"/>
      </w:pPr>
      <w:r>
        <w:t>(b)</w:t>
        <w:tab/>
      </w:r>
      <w:r>
        <w:t>publish the electricity consumption benchmarks on the AER website; and</w:t>
      </w:r>
    </w:p>
    <w:p>
      <w:pPr>
        <w:pStyle w:val="NER-RC-List-1-MNum"/>
      </w:pPr>
      <w:r>
        <w:t>(c)</w:t>
        <w:tab/>
      </w:r>
      <w:r>
        <w:t>provide the information supporting the development of the electricity consumption benchmarks to the MCE.</w:t>
      </w:r>
    </w:p>
    <w:p>
      <w:pPr>
        <w:pStyle w:val="EMR-Subrule"/>
      </w:pPr>
      <w:r>
        <w:t>(5)</w:t>
        <w:tab/>
      </w:r>
      <w:r>
        <w:t>The AER must administer the electricity consumption benchmarks and update them at least every 3 years from the date when the initial benchmarks are published.</w:t>
      </w:r>
    </w:p>
    <w:p>
      <w:pPr>
        <w:pStyle w:val="EMR-Subrule"/>
      </w:pPr>
      <w:r>
        <w:t>(6)</w:t>
        <w:tab/>
      </w:r>
      <w:r>
        <w:t>The AER may consult on the electricity consumption benchmarks in any manner that it considers appropriate.</w:t>
      </w:r>
    </w:p>
    <w:p>
      <w:pPr>
        <w:pStyle w:val="EMR-Subrule"/>
      </w:pPr>
      <w:r>
        <w:t>(7)</w:t>
        <w:tab/>
      </w:r>
      <w:r>
        <w:t>In this rule:</w:t>
      </w:r>
    </w:p>
    <w:p>
      <w:pPr>
        <w:pStyle w:val="NER-RC-Para"/>
      </w:pPr>
      <w:r>
        <w:rPr>
          <w:b/>
        </w:rPr>
        <w:t>initial benchmarks</w:t>
      </w:r>
      <w:r>
        <w:t xml:space="preserve"> means the benchmarks for the consumption of electricity by residential customers as provided for by the National Regulations.</w:t>
      </w:r>
    </w:p>
    <w:p>
      <w:pPr>
        <w:pStyle w:val="EMR-Rule-Title-Lvl-2"/>
      </w:pPr>
      <w:bookmarkStart w:id="4" w:name="_Toc256000251"/>
      <w:r>
        <w:t>170</w:t>
        <w:tab/>
      </w:r>
      <w:r>
        <w:t>Retailer obligations—electricity consumption benchmarks</w:t>
      </w:r>
      <w:bookmarkEnd w:id="4"/>
    </w:p>
    <w:p>
      <w:pPr>
        <w:pStyle w:val="EMR-Subrule"/>
      </w:pPr>
      <w:r>
        <w:t>(1)</w:t>
        <w:tab/>
      </w:r>
      <w:r>
        <w:t xml:space="preserve">Without limiting any requirement under rule </w:t>
      </w:r>
      <w:r>
        <w:t>25</w:t>
      </w:r>
      <w:r>
        <w:t>, a retailer must provide the following particulars in a bill for a residential customer:</w:t>
      </w:r>
    </w:p>
    <w:p>
      <w:pPr>
        <w:pStyle w:val="NER-RC-List-1-MNum"/>
      </w:pPr>
      <w:r>
        <w:t>(a)</w:t>
        <w:tab/>
      </w:r>
      <w:r>
        <w:t xml:space="preserve">a comparison of the customer's electricity consumption against the electricity consumption benchmarks under rule </w:t>
      </w:r>
      <w:r>
        <w:t>169</w:t>
      </w:r>
      <w:r>
        <w:t>;</w:t>
      </w:r>
    </w:p>
    <w:p>
      <w:pPr>
        <w:pStyle w:val="NER-RC-List-1-MNum"/>
      </w:pPr>
      <w:r>
        <w:t>(b)</w:t>
        <w:tab/>
      </w:r>
      <w:r>
        <w:t>a statement indicating the purpose of the information provided with respect to those benchmarks;</w:t>
      </w:r>
    </w:p>
    <w:p>
      <w:pPr>
        <w:pStyle w:val="NER-RC-List-1-MNum"/>
      </w:pPr>
      <w:r>
        <w:t>(c)</w:t>
        <w:tab/>
      </w:r>
      <w:r>
        <w:t>a reference to an energy efficiency website.</w:t>
      </w:r>
    </w:p>
    <w:p>
      <w:pPr>
        <w:pStyle w:val="EMR-Subrule"/>
      </w:pPr>
      <w:r>
        <w:t>(2)</w:t>
        <w:tab/>
      </w:r>
      <w:r>
        <w:t xml:space="preserve">A retailer is required to present the information in subrule </w:t>
      </w:r>
      <w:r>
        <w:t>(1)</w:t>
      </w:r>
      <w:r>
        <w:t xml:space="preserve"> in a graphical or tabular form, as appropriate, but may do so in a location on the bill that is convenient for the retailer.</w:t>
      </w:r>
    </w:p>
    <w:p>
      <w:pPr>
        <w:pStyle w:val="EMR-Subrule"/>
      </w:pPr>
      <w:r>
        <w:t>(3)</w:t>
        <w:tab/>
      </w:r>
      <w:r>
        <w:t xml:space="preserve">A retailer must present the information in subrule </w:t>
      </w:r>
      <w:r>
        <w:t>(1)</w:t>
      </w:r>
      <w:r>
        <w:t xml:space="preserve"> in a manner which is easy for the customer to understand.</w:t>
      </w:r>
    </w:p>
    <w:p>
      <w:pPr>
        <w:pStyle w:val="EMR-Subrule"/>
      </w:pPr>
      <w:r>
        <w:t>(4)</w:t>
        <w:tab/>
      </w:r>
      <w:r>
        <w:t>In this rule:</w:t>
      </w:r>
    </w:p>
    <w:p>
      <w:pPr>
        <w:pStyle w:val="NER-RC-Para"/>
      </w:pPr>
      <w:r>
        <w:rPr>
          <w:b/>
        </w:rPr>
        <w:t>energy efficiency website</w:t>
      </w:r>
      <w:r>
        <w:t xml:space="preserve"> means a website, containing information about electricity consumption benchmarks, that is prescribed by the National Regulations and notified by the AER on its website.</w:t>
      </w:r>
    </w:p>
    <w:p>
      <w:pPr>
        <w:pStyle w:val="EMR-Rule-Title-Lvl-2"/>
      </w:pPr>
      <w:bookmarkStart w:id="5" w:name="_Toc256000252"/>
      <w:r>
        <w:t>171</w:t>
        <w:tab/>
      </w:r>
      <w:r>
        <w:t>Distributor obligations—electricity consumption information</w:t>
      </w:r>
      <w:bookmarkEnd w:id="5"/>
    </w:p>
    <w:p>
      <w:pPr>
        <w:pStyle w:val="NER-RC-Para"/>
      </w:pPr>
      <w:r>
        <w:t>Distributors must, for the purpose of the electricity consumption benchmarks, provide information to the AER in such manner and form as may be requested by the AER.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oddPage"/>
      <w:pgSz w:w="11907" w:h="16840"/>
      <w:pgMar w:top="1418" w:right="1418" w:bottom="1418" w:left="1418" w:header="680" w:footer="680" w:gutter="0"/>
      <w:pgNumType w:start="13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189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169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30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30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30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