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130ee8b-a3e1-40b5-a4c4-87f543715f97"/>
      <w:bookmarkEnd w:id="0"/>
      <w:r>
        <w:t>Retail Markets</w:t>
      </w:r>
    </w:p>
    <w:p>
      <w:pPr>
        <w:pStyle w:val="NER-Ch-Num"/>
      </w:pPr>
      <w:r>
        <w:t>CHAPTER 6B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7"/>
          <w:cols w:space="720"/>
          <w:noEndnote/>
          <w:titlePg/>
        </w:sectPr>
      </w:pPr>
      <w:bookmarkStart w:id="1" w:name="GPSL_AU_INS CHAPTER 6B"/>
      <w:bookmarkEnd w:id="1"/>
    </w:p>
    <w:p>
      <w:pPr>
        <w:pStyle w:val="NER-Ch-Title"/>
      </w:pPr>
      <w:bookmarkStart w:id="2" w:name="_Toc256000716"/>
      <w:r>
        <w:t>6B.</w:t>
        <w:tab/>
      </w:r>
      <w:r>
        <w:t>Retail Markets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