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283ddf3-a229-4095-b4fc-c198bac55953"/>
      <w:bookmarkEnd w:id="0"/>
      <w:r>
        <w:t>Registered Participants and Registration</w:t>
      </w:r>
    </w:p>
    <w:p>
      <w:pPr>
        <w:pStyle w:val="NER-Ch-Num"/>
      </w:pPr>
      <w:r>
        <w:t>CHAPTER 2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1"/>
          <w:cols w:space="720"/>
          <w:noEndnote/>
          <w:titlePg/>
        </w:sectPr>
      </w:pPr>
      <w:bookmarkStart w:id="1" w:name="GPSL_AU_INS CHAPTER 2"/>
      <w:bookmarkEnd w:id="1"/>
    </w:p>
    <w:p>
      <w:pPr>
        <w:pStyle w:val="NER-Ch-Title"/>
      </w:pPr>
      <w:bookmarkStart w:id="2" w:name="_Toc256000027"/>
      <w:r>
        <w:t>2.</w:t>
        <w:tab/>
      </w:r>
      <w:r>
        <w:t>Registered Participants and Registration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1081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1075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79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