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2 -->
  <w:body>
    <w:p>
      <w:pPr>
        <w:pStyle w:val="NER-Ch-Title-Text-First-Page"/>
      </w:pPr>
      <w:bookmarkStart w:id="0" w:name="_5d042d25-ce25-424d-afbb-53789cf60459"/>
      <w:bookmarkEnd w:id="0"/>
      <w:r>
        <w:t>Participant Derogations</w:t>
      </w:r>
    </w:p>
    <w:p>
      <w:pPr>
        <w:pStyle w:val="NER-Ch-Num"/>
      </w:pPr>
      <w:r>
        <w:t>CHAPTER 8A</w:t>
      </w:r>
    </w:p>
    <w:p>
      <w:pPr>
        <w:widowControl w:val="0"/>
        <w:rPr>
          <w:color w:val="auto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oddPage"/>
          <w:pgSz w:w="11907" w:h="16840"/>
          <w:pgMar w:top="1418" w:right="1418" w:bottom="1418" w:left="1418" w:header="680" w:footer="680" w:gutter="0"/>
          <w:pgNumType w:start="739"/>
          <w:cols w:space="720"/>
          <w:noEndnote/>
          <w:titlePg/>
        </w:sectPr>
      </w:pPr>
      <w:bookmarkStart w:id="1" w:name="GPSL_AU_INS CHAPTER 8A"/>
      <w:bookmarkEnd w:id="1"/>
    </w:p>
    <w:p>
      <w:pPr>
        <w:pStyle w:val="NER-Ch-Title"/>
      </w:pPr>
      <w:bookmarkStart w:id="2" w:name="_Toc256001012"/>
      <w:r>
        <w:t>8A.</w:t>
        <w:tab/>
      </w:r>
      <w:r>
        <w:t>Participant Derogations</w:t>
      </w:r>
      <w:bookmarkEnd w:id="2"/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This Chapter contains the </w:t>
      </w:r>
      <w:r>
        <w:rPr>
          <w:i/>
        </w:rPr>
        <w:t>participant derogations</w:t>
      </w:r>
      <w:r>
        <w:t xml:space="preserve"> for the purposes of the </w:t>
      </w:r>
      <w:r>
        <w:rPr>
          <w:i/>
        </w:rPr>
        <w:t>NEL</w:t>
      </w:r>
      <w:r>
        <w:t xml:space="preserve"> and the </w:t>
      </w:r>
      <w:r>
        <w:rPr>
          <w:i/>
        </w:rPr>
        <w:t>Rules</w:t>
      </w:r>
      <w:r>
        <w:t>.</w:t>
      </w:r>
    </w:p>
    <w:p>
      <w:pPr>
        <w:pStyle w:val="NER-Pt-Title"/>
      </w:pPr>
      <w:bookmarkStart w:id="3" w:name="_Toc256001013"/>
      <w:r>
        <w:t>Part 1</w:t>
        <w:tab/>
      </w:r>
      <w:r>
        <w:t>Derogations Granted to TransGrid</w:t>
      </w:r>
      <w:bookmarkEnd w:id="3"/>
    </w:p>
    <w:p>
      <w:pPr>
        <w:pStyle w:val="NER-Rule-Title-Lvl-3"/>
      </w:pPr>
      <w:bookmarkStart w:id="4" w:name="_Toc256001014"/>
      <w:r>
        <w:t>8A.1</w:t>
        <w:tab/>
      </w:r>
      <w:r>
        <w:t>[Deleted]</w:t>
      </w:r>
      <w:bookmarkEnd w:id="4"/>
    </w:p>
    <w:p>
      <w:pPr>
        <w:pStyle w:val="NER-Pt-Title"/>
      </w:pPr>
      <w:bookmarkStart w:id="5" w:name="_Toc256001015"/>
      <w:r>
        <w:t>Part 2</w:t>
        <w:tab/>
      </w:r>
      <w:r>
        <w:t>Derogations Granted to EnergyAustralia</w:t>
      </w:r>
      <w:bookmarkEnd w:id="5"/>
    </w:p>
    <w:p>
      <w:pPr>
        <w:pStyle w:val="NER-Rule-Title-Lvl-3"/>
      </w:pPr>
      <w:bookmarkStart w:id="6" w:name="_Toc256001016"/>
      <w:r>
        <w:t>8A.2</w:t>
        <w:tab/>
      </w:r>
      <w:r>
        <w:t>[Deleted]</w:t>
      </w:r>
      <w:bookmarkEnd w:id="6"/>
    </w:p>
    <w:p>
      <w:pPr>
        <w:pStyle w:val="NER-Rule-Title-Lvl-3"/>
      </w:pPr>
      <w:bookmarkStart w:id="7" w:name="_Toc256001017"/>
      <w:r>
        <w:t>8A.2A</w:t>
        <w:tab/>
      </w:r>
      <w:r>
        <w:t>[Deleted]</w:t>
      </w:r>
      <w:bookmarkEnd w:id="7"/>
    </w:p>
    <w:p>
      <w:pPr>
        <w:pStyle w:val="NER-Pt-Title"/>
      </w:pPr>
      <w:bookmarkStart w:id="8" w:name="_Toc256001018"/>
      <w:r>
        <w:t>Part 3</w:t>
        <w:tab/>
      </w:r>
      <w:r>
        <w:t>[Deleted]</w:t>
      </w:r>
      <w:bookmarkEnd w:id="8"/>
    </w:p>
    <w:p>
      <w:pPr>
        <w:pStyle w:val="NER-Pt-Title"/>
      </w:pPr>
      <w:bookmarkStart w:id="9" w:name="_Toc256001019"/>
      <w:r>
        <w:t>Part 4</w:t>
        <w:tab/>
      </w:r>
      <w:r>
        <w:t>[Deleted]</w:t>
      </w:r>
      <w:bookmarkEnd w:id="9"/>
    </w:p>
    <w:p>
      <w:pPr>
        <w:pStyle w:val="NER-Pt-Title"/>
      </w:pPr>
      <w:bookmarkStart w:id="10" w:name="_Toc256001020"/>
      <w:r>
        <w:t>Part 5</w:t>
        <w:tab/>
      </w:r>
      <w:r>
        <w:t>[Deleted]</w:t>
      </w:r>
      <w:bookmarkEnd w:id="10"/>
    </w:p>
    <w:p>
      <w:pPr>
        <w:pStyle w:val="NER-Pt-Title"/>
      </w:pPr>
      <w:bookmarkStart w:id="11" w:name="_Toc256001021"/>
      <w:r>
        <w:t>Part 6</w:t>
        <w:tab/>
      </w:r>
      <w:r>
        <w:t>Derogations Granted to Victorian Market Participants</w:t>
      </w:r>
      <w:bookmarkEnd w:id="11"/>
    </w:p>
    <w:p>
      <w:pPr>
        <w:pStyle w:val="NER-RC-Para"/>
      </w:pPr>
      <w:r>
        <w:rPr>
          <w:b/>
        </w:rPr>
        <w:t>[Deleted]</w:t>
      </w:r>
    </w:p>
    <w:p>
      <w:pPr>
        <w:pStyle w:val="NER-Pt-Title"/>
      </w:pPr>
      <w:bookmarkStart w:id="12" w:name="_Toc256001022"/>
      <w:r>
        <w:t>Part 7</w:t>
        <w:tab/>
      </w:r>
      <w:r>
        <w:t>[Deleted]</w:t>
      </w:r>
      <w:bookmarkEnd w:id="12"/>
    </w:p>
    <w:p>
      <w:pPr>
        <w:pStyle w:val="NER-Pt-Title"/>
      </w:pPr>
      <w:bookmarkStart w:id="13" w:name="_Toc256001023"/>
      <w:r>
        <w:t>Part 8</w:t>
        <w:tab/>
      </w:r>
      <w:r>
        <w:t>[Deleted]</w:t>
      </w:r>
      <w:bookmarkEnd w:id="13"/>
    </w:p>
    <w:p>
      <w:pPr>
        <w:pStyle w:val="NER-Pt-Title"/>
      </w:pPr>
      <w:bookmarkStart w:id="14" w:name="_Toc256001024"/>
      <w:r>
        <w:t>Part 9</w:t>
        <w:tab/>
      </w:r>
      <w:r>
        <w:t>[Deleted]</w:t>
      </w:r>
      <w:bookmarkEnd w:id="14"/>
    </w:p>
    <w:p>
      <w:pPr>
        <w:pStyle w:val="NER-Pt-Title"/>
      </w:pPr>
      <w:bookmarkStart w:id="15" w:name="_Toc256001025"/>
      <w:r>
        <w:t>Part 10</w:t>
        <w:tab/>
      </w:r>
      <w:r>
        <w:t>[Deleted]</w:t>
      </w:r>
      <w:bookmarkEnd w:id="15"/>
    </w:p>
    <w:p>
      <w:pPr>
        <w:pStyle w:val="NER-Pt-Title"/>
      </w:pPr>
      <w:bookmarkStart w:id="16" w:name="_Toc256001026"/>
      <w:r>
        <w:t>Part 11</w:t>
        <w:tab/>
      </w:r>
      <w:r>
        <w:t>[Deleted]</w:t>
      </w:r>
      <w:bookmarkEnd w:id="16"/>
    </w:p>
    <w:p>
      <w:pPr>
        <w:pStyle w:val="NER-Pt-Title"/>
      </w:pPr>
      <w:bookmarkStart w:id="17" w:name="_Toc256001027"/>
      <w:r>
        <w:t>Part 12</w:t>
        <w:tab/>
      </w:r>
      <w:r>
        <w:t>[Deleted]</w:t>
      </w:r>
      <w:bookmarkEnd w:id="17"/>
    </w:p>
    <w:p>
      <w:pPr>
        <w:pStyle w:val="NER-Pt-Title"/>
      </w:pPr>
      <w:bookmarkStart w:id="18" w:name="_Toc256001028"/>
      <w:r>
        <w:t>Part 13</w:t>
        <w:tab/>
      </w:r>
      <w:r>
        <w:t>Derogation granted to Aurora Energy (Tamar Valley) Pty Ltd</w:t>
      </w:r>
      <w:bookmarkEnd w:id="18"/>
    </w:p>
    <w:p>
      <w:pPr>
        <w:pStyle w:val="NER-Rule-Title-Lvl-3"/>
      </w:pPr>
      <w:bookmarkStart w:id="19" w:name="_Toc256001029"/>
      <w:r>
        <w:t>8A.13</w:t>
        <w:tab/>
      </w:r>
      <w:r>
        <w:t>[Deleted]</w:t>
      </w:r>
      <w:bookmarkEnd w:id="19"/>
    </w:p>
    <w:p>
      <w:pPr>
        <w:pStyle w:val="NER-Pt-Title"/>
      </w:pPr>
      <w:bookmarkStart w:id="20" w:name="_Toc256001030"/>
      <w:r>
        <w:t>Part 14</w:t>
        <w:tab/>
      </w:r>
      <w:r>
        <w:t>Derogations granted to Ausgrid, Endeavour Energy and Essential Energy</w:t>
      </w:r>
      <w:bookmarkEnd w:id="20"/>
    </w:p>
    <w:p>
      <w:pPr>
        <w:pStyle w:val="NER-Rule-Title-Lvl-3"/>
      </w:pPr>
      <w:bookmarkStart w:id="21" w:name="_Toc256001031"/>
      <w:r>
        <w:t>8A.14</w:t>
        <w:tab/>
      </w:r>
      <w:r>
        <w:t>Derogations from Chapter 6 for the current regulatory control period and subsequent regulatory control period</w:t>
      </w:r>
      <w:bookmarkEnd w:id="21"/>
    </w:p>
    <w:p>
      <w:pPr>
        <w:pStyle w:val="NER-Cl-Title-Lvl-4"/>
      </w:pPr>
      <w:bookmarkStart w:id="22" w:name="_Toc256001032"/>
      <w:r>
        <w:t>8A.14.1</w:t>
        <w:tab/>
      </w:r>
      <w:r>
        <w:t>Definitions</w:t>
      </w:r>
      <w:bookmarkEnd w:id="22"/>
    </w:p>
    <w:p>
      <w:pPr>
        <w:pStyle w:val="NER-RC-Para"/>
      </w:pPr>
      <w:r>
        <w:t xml:space="preserve">In this </w:t>
      </w:r>
      <w:r>
        <w:rPr>
          <w:i/>
        </w:rPr>
        <w:t>participant derogation</w:t>
      </w:r>
      <w:r>
        <w:t xml:space="preserve">, </w:t>
      </w:r>
      <w:r>
        <w:t>rule 8A.14</w:t>
      </w:r>
      <w:r>
        <w:t>:</w:t>
      </w:r>
    </w:p>
    <w:p>
      <w:pPr>
        <w:pStyle w:val="NER-RC-Para"/>
      </w:pPr>
      <w:r>
        <w:rPr>
          <w:b/>
        </w:rPr>
        <w:t>2015 determination</w:t>
      </w:r>
      <w:r>
        <w:t xml:space="preserve">, in respect of each </w:t>
      </w:r>
      <w:r>
        <w:t>NSW DNSP</w:t>
      </w:r>
      <w:r>
        <w:t>, means the following applicable distribution determination:</w:t>
      </w:r>
    </w:p>
    <w:p>
      <w:pPr>
        <w:pStyle w:val="NER-RC-List-1-MNum"/>
      </w:pPr>
      <w:r>
        <w:t>(a)</w:t>
        <w:tab/>
      </w:r>
      <w:r>
        <w:t xml:space="preserve">the distribution determination for the </w:t>
      </w:r>
      <w:r>
        <w:t>current regulatory control period</w:t>
      </w:r>
      <w:r>
        <w:t xml:space="preserve"> published by the </w:t>
      </w:r>
      <w:r>
        <w:rPr>
          <w:i/>
        </w:rPr>
        <w:t>AER</w:t>
      </w:r>
      <w:r>
        <w:t xml:space="preserve"> on 30 April 2015 in respect of </w:t>
      </w:r>
      <w:r>
        <w:t>Ausgrid</w:t>
      </w:r>
      <w:r>
        <w:t>;</w:t>
      </w:r>
    </w:p>
    <w:p>
      <w:pPr>
        <w:pStyle w:val="NER-RC-List-1-MNum"/>
      </w:pPr>
      <w:r>
        <w:t>(b)</w:t>
        <w:tab/>
      </w:r>
      <w:r>
        <w:t xml:space="preserve">the distribution determination for the </w:t>
      </w:r>
      <w:r>
        <w:t>current regulatory control period</w:t>
      </w:r>
      <w:r>
        <w:t xml:space="preserve"> published by the </w:t>
      </w:r>
      <w:r>
        <w:rPr>
          <w:i/>
        </w:rPr>
        <w:t>AER</w:t>
      </w:r>
      <w:r>
        <w:t xml:space="preserve"> on 30 April 2015 in respect of </w:t>
      </w:r>
      <w:r>
        <w:t>Endeavour Energy</w:t>
      </w:r>
      <w:r>
        <w:t>; and</w:t>
      </w:r>
    </w:p>
    <w:p>
      <w:pPr>
        <w:pStyle w:val="NER-RC-List-1-MNum"/>
      </w:pPr>
      <w:r>
        <w:t>(c)</w:t>
        <w:tab/>
      </w:r>
      <w:r>
        <w:t xml:space="preserve">the distribution determination for the </w:t>
      </w:r>
      <w:r>
        <w:t>current regulatory control period</w:t>
      </w:r>
      <w:r>
        <w:t xml:space="preserve"> published by the</w:t>
      </w:r>
      <w:r>
        <w:rPr>
          <w:i/>
        </w:rPr>
        <w:t xml:space="preserve"> AER </w:t>
      </w:r>
      <w:r>
        <w:t xml:space="preserve">on 30 April 2015 in respect of </w:t>
      </w:r>
      <w:r>
        <w:t>Essential Energy</w:t>
      </w:r>
      <w:r>
        <w:t>.</w:t>
      </w:r>
    </w:p>
    <w:p>
      <w:pPr>
        <w:pStyle w:val="NER-RC-Para"/>
      </w:pPr>
      <w:r>
        <w:rPr>
          <w:b/>
        </w:rPr>
        <w:t>adjustment amount</w:t>
      </w:r>
      <w:r>
        <w:t xml:space="preserve">, in respect of a </w:t>
      </w:r>
      <w:r>
        <w:t>NSW DNSP</w:t>
      </w:r>
      <w:r>
        <w:t>, means an amount that operates as if it were:</w:t>
      </w:r>
    </w:p>
    <w:p>
      <w:pPr>
        <w:pStyle w:val="NER-RC-List-1-MNum"/>
      </w:pPr>
      <w:r>
        <w:t>(a)</w:t>
        <w:tab/>
      </w:r>
      <w:r>
        <w:t>a revenue increase; or</w:t>
      </w:r>
    </w:p>
    <w:p>
      <w:pPr>
        <w:pStyle w:val="NER-RC-List-1-MNum"/>
      </w:pPr>
      <w:r>
        <w:t>(b)</w:t>
        <w:tab/>
      </w:r>
      <w:r>
        <w:t>a revenue decrease,</w:t>
      </w:r>
    </w:p>
    <w:p>
      <w:pPr>
        <w:pStyle w:val="NER-RC-Para"/>
      </w:pPr>
      <w:r>
        <w:t xml:space="preserve">to the </w:t>
      </w:r>
      <w:r>
        <w:t>total annual revenue</w:t>
      </w:r>
      <w:r>
        <w:t xml:space="preserve"> for </w:t>
      </w:r>
      <w:r>
        <w:t>distribution standard control services</w:t>
      </w:r>
      <w:r>
        <w:t xml:space="preserve"> that may be earned by that </w:t>
      </w:r>
      <w:r>
        <w:t>NSW DNSP</w:t>
      </w:r>
      <w:r>
        <w:t xml:space="preserve"> for the final </w:t>
      </w:r>
      <w:r>
        <w:t>regulatory year</w:t>
      </w:r>
      <w:r>
        <w:t xml:space="preserve"> of the </w:t>
      </w:r>
      <w:r>
        <w:t>current regulatory control period</w:t>
      </w:r>
      <w:r>
        <w:t xml:space="preserve"> in accordance with:</w:t>
      </w:r>
    </w:p>
    <w:p>
      <w:pPr>
        <w:pStyle w:val="NER-RC-List-1-MNum"/>
      </w:pPr>
      <w:r>
        <w:t>(c)</w:t>
        <w:tab/>
      </w:r>
      <w:r>
        <w:t>the formulae that give effect to the applicable control mechanism; and</w:t>
      </w:r>
    </w:p>
    <w:p>
      <w:pPr>
        <w:pStyle w:val="NER-RC-List-1-MNum"/>
      </w:pPr>
      <w:r>
        <w:t>(d)</w:t>
        <w:tab/>
      </w:r>
      <w:r>
        <w:t xml:space="preserve">the applicable </w:t>
      </w:r>
      <w:r>
        <w:rPr>
          <w:i/>
        </w:rPr>
        <w:t>annual revenue requirement</w:t>
      </w:r>
      <w:r>
        <w:t>,</w:t>
      </w:r>
    </w:p>
    <w:p>
      <w:pPr>
        <w:pStyle w:val="NER-RC-Para"/>
      </w:pPr>
      <w:r>
        <w:t xml:space="preserve">under the </w:t>
      </w:r>
      <w:r>
        <w:t>remade 2015 determination</w:t>
      </w:r>
      <w:r>
        <w:t>.</w:t>
      </w:r>
    </w:p>
    <w:p>
      <w:pPr>
        <w:pStyle w:val="NER-RC-Para"/>
      </w:pPr>
      <w:r>
        <w:rPr>
          <w:b/>
        </w:rPr>
        <w:t>adjustment determination</w:t>
      </w:r>
      <w:r>
        <w:t xml:space="preserve">, in respect of a </w:t>
      </w:r>
      <w:r>
        <w:t>NSW DNSP</w:t>
      </w:r>
      <w:r>
        <w:t xml:space="preserve">, means the </w:t>
      </w:r>
      <w:r>
        <w:rPr>
          <w:i/>
        </w:rPr>
        <w:t>AER's</w:t>
      </w:r>
      <w:r>
        <w:t xml:space="preserve"> determination:</w:t>
      </w:r>
    </w:p>
    <w:p>
      <w:pPr>
        <w:pStyle w:val="NER-RC-List-1-MNum"/>
      </w:pPr>
      <w:r>
        <w:t>(a)</w:t>
        <w:tab/>
      </w:r>
      <w:r>
        <w:t xml:space="preserve">if </w:t>
      </w:r>
      <w:r>
        <w:t>clause 8A.14.4</w:t>
      </w:r>
      <w:r>
        <w:t xml:space="preserve"> applies, of whether there is, and the relevant amounts of, an </w:t>
      </w:r>
      <w:r>
        <w:t>adjustment amount</w:t>
      </w:r>
      <w:r>
        <w:t xml:space="preserve"> (including any adjustments made under clause </w:t>
      </w:r>
      <w:r>
        <w:t>8A.14.4(d)(1)(ii)</w:t>
      </w:r>
      <w:r>
        <w:t xml:space="preserve"> or </w:t>
      </w:r>
      <w:r>
        <w:t>8A.14.4(d)(2)(ii)</w:t>
      </w:r>
      <w:r>
        <w:t xml:space="preserve">) and a </w:t>
      </w:r>
      <w:r>
        <w:t>subsequent adjustment amount</w:t>
      </w:r>
      <w:r>
        <w:t>; or</w:t>
      </w:r>
    </w:p>
    <w:p>
      <w:pPr>
        <w:pStyle w:val="NER-RC-List-1-MNum"/>
      </w:pPr>
      <w:r>
        <w:t>(b)</w:t>
        <w:tab/>
      </w:r>
      <w:r>
        <w:t xml:space="preserve">if clause </w:t>
      </w:r>
      <w:r>
        <w:t>8A.14.5</w:t>
      </w:r>
      <w:r>
        <w:t xml:space="preserve"> or </w:t>
      </w:r>
      <w:r>
        <w:t>8A.14.6</w:t>
      </w:r>
      <w:r>
        <w:t xml:space="preserve"> applies, of the relevant amounts of the </w:t>
      </w:r>
      <w:r>
        <w:t>distribution variation amount</w:t>
      </w:r>
      <w:r>
        <w:t xml:space="preserve"> and </w:t>
      </w:r>
      <w:r>
        <w:t>transmission variation amount</w:t>
      </w:r>
      <w:r>
        <w:t>.</w:t>
      </w:r>
    </w:p>
    <w:p>
      <w:pPr>
        <w:pStyle w:val="NER-RC-Para"/>
      </w:pPr>
      <w:r>
        <w:rPr>
          <w:b/>
        </w:rPr>
        <w:t>Ausgrid</w:t>
      </w:r>
      <w:r>
        <w:t xml:space="preserve"> means the </w:t>
      </w:r>
      <w:r>
        <w:t>Ausgrid</w:t>
      </w:r>
      <w:r>
        <w:t xml:space="preserve"> Operator Partnership (ABN 78 508 211 731), which comprises of:</w:t>
      </w:r>
    </w:p>
    <w:p>
      <w:pPr>
        <w:pStyle w:val="NER-RC-List-1-MNum"/>
      </w:pPr>
      <w:r>
        <w:t>(a)</w:t>
        <w:tab/>
      </w:r>
      <w:r>
        <w:t>Blue Op Partner Pty Ltd (ACN 615 217 500) as trustee for the Blue Op Partner Trust;</w:t>
      </w:r>
    </w:p>
    <w:p>
      <w:pPr>
        <w:pStyle w:val="NER-RC-List-1-MNum"/>
      </w:pPr>
      <w:r>
        <w:t>(b)</w:t>
        <w:tab/>
      </w:r>
      <w:r>
        <w:t>ERIC Alpha Operator Corporation 1 Pty Ltd (ACN 612 975 096) as trustee for ERIC Alpha Operator Trust 1;</w:t>
      </w:r>
    </w:p>
    <w:p>
      <w:pPr>
        <w:pStyle w:val="NER-RC-List-1-MNum"/>
      </w:pPr>
      <w:r>
        <w:t>(c)</w:t>
        <w:tab/>
      </w:r>
      <w:r>
        <w:t>ERIC Alpha Operator Corporation 2 Pty Ltd (ACN 612 975 121) as trustee for ERIC Alpha Operator Trust 2;</w:t>
      </w:r>
    </w:p>
    <w:p>
      <w:pPr>
        <w:pStyle w:val="NER-RC-List-1-MNum"/>
      </w:pPr>
      <w:r>
        <w:t>(d)</w:t>
        <w:tab/>
      </w:r>
      <w:r>
        <w:t>ERIC Alpha Operator Corporation 3 Pty Ltd (ACN 612 975 185) as trustee for ERIC Alpha Operator Trust 3; and</w:t>
      </w:r>
    </w:p>
    <w:p>
      <w:pPr>
        <w:pStyle w:val="NER-RC-List-1-MNum"/>
      </w:pPr>
      <w:r>
        <w:t>(e)</w:t>
        <w:tab/>
      </w:r>
      <w:r>
        <w:t>ERIC Alpha Operator Corporation 4 Pty Ltd (ACN 612 975 210) as trustee for ERIC Alpha Operator Trust 4.</w:t>
      </w:r>
    </w:p>
    <w:p>
      <w:pPr>
        <w:pStyle w:val="NER-RC-Para"/>
      </w:pPr>
      <w:r>
        <w:rPr>
          <w:b/>
        </w:rPr>
        <w:t>current regulatory control period</w:t>
      </w:r>
      <w:r>
        <w:t xml:space="preserve">, for each </w:t>
      </w:r>
      <w:r>
        <w:t>NSW DNSP</w:t>
      </w:r>
      <w:r>
        <w:t xml:space="preserve">, means the period of five years that commenced on 1 July 2014 and ends on 30 June 2019, which includes the 'transitional </w:t>
      </w:r>
      <w:r>
        <w:t>regulatory control period</w:t>
      </w:r>
      <w:r>
        <w:t>' and '</w:t>
      </w:r>
      <w:r>
        <w:t>subsequent regulatory control period</w:t>
      </w:r>
      <w:r>
        <w:t xml:space="preserve">' as those terms are defined in </w:t>
      </w:r>
      <w:r>
        <w:t>clause 11.55.1</w:t>
      </w:r>
      <w:r>
        <w:t>.</w:t>
      </w:r>
    </w:p>
    <w:p>
      <w:pPr>
        <w:pStyle w:val="NER-RC-Para"/>
      </w:pPr>
      <w:r>
        <w:rPr>
          <w:b/>
        </w:rPr>
        <w:t>distribution standard control services</w:t>
      </w:r>
      <w:r>
        <w:t xml:space="preserve">, in respect of a </w:t>
      </w:r>
      <w:r>
        <w:t>NSW DNSP</w:t>
      </w:r>
      <w:r>
        <w:t xml:space="preserve">, means </w:t>
      </w:r>
      <w:r>
        <w:rPr>
          <w:i/>
        </w:rPr>
        <w:t>standard control services</w:t>
      </w:r>
      <w:r>
        <w:t xml:space="preserve"> provided by that </w:t>
      </w:r>
      <w:r>
        <w:t>NSW DNSP</w:t>
      </w:r>
      <w:r>
        <w:t xml:space="preserve"> other than </w:t>
      </w:r>
      <w:r>
        <w:rPr>
          <w:i/>
        </w:rPr>
        <w:t>transmission standard control services</w:t>
      </w:r>
      <w:r>
        <w:t>.</w:t>
      </w:r>
    </w:p>
    <w:p>
      <w:pPr>
        <w:pStyle w:val="NER-RC-Para"/>
      </w:pPr>
      <w:r>
        <w:rPr>
          <w:b/>
        </w:rPr>
        <w:t>distribution variation amount</w:t>
      </w:r>
      <w:r>
        <w:t xml:space="preserve">, in respect of a </w:t>
      </w:r>
      <w:r>
        <w:t>NSW DNSP</w:t>
      </w:r>
      <w:r>
        <w:t>, means an amount equal to:</w:t>
      </w:r>
    </w:p>
    <w:p>
      <w:pPr>
        <w:pStyle w:val="NER-RC-List-1-MNum"/>
      </w:pPr>
      <w:r>
        <w:t>(a)</w:t>
        <w:tab/>
      </w:r>
      <w:r>
        <w:t xml:space="preserve">the sum of the </w:t>
      </w:r>
      <w:r>
        <w:t>total annual revenue</w:t>
      </w:r>
      <w:r>
        <w:t xml:space="preserve"> for </w:t>
      </w:r>
      <w:r>
        <w:t>distribution standard control services</w:t>
      </w:r>
      <w:r>
        <w:t xml:space="preserve"> for that </w:t>
      </w:r>
      <w:r>
        <w:t>NSW DNSP</w:t>
      </w:r>
      <w:r>
        <w:t xml:space="preserve"> for each </w:t>
      </w:r>
      <w:r>
        <w:t>regulatory year</w:t>
      </w:r>
      <w:r>
        <w:t xml:space="preserve"> of the </w:t>
      </w:r>
      <w:r>
        <w:t>current regulatory control period</w:t>
      </w:r>
      <w:r>
        <w:t xml:space="preserve"> in accordance with:</w:t>
      </w:r>
    </w:p>
    <w:p>
      <w:pPr>
        <w:pStyle w:val="NER-RC-List-2-MNum"/>
      </w:pPr>
      <w:r>
        <w:t>(1)</w:t>
        <w:tab/>
      </w:r>
      <w:r>
        <w:t>the formulae that give effect to the applicable control mechanism; and</w:t>
      </w:r>
    </w:p>
    <w:p>
      <w:pPr>
        <w:pStyle w:val="NER-RC-List-2-MNum"/>
      </w:pPr>
      <w:r>
        <w:t>(2)</w:t>
        <w:tab/>
      </w:r>
      <w:r>
        <w:t xml:space="preserve">the applicable </w:t>
      </w:r>
      <w:r>
        <w:rPr>
          <w:i/>
        </w:rPr>
        <w:t>annual revenue requirement</w:t>
      </w:r>
      <w:r>
        <w:t>,</w:t>
      </w:r>
    </w:p>
    <w:p>
      <w:pPr>
        <w:pStyle w:val="NER-RC-Text-In-1"/>
      </w:pPr>
      <w:r>
        <w:t xml:space="preserve">under the </w:t>
      </w:r>
      <w:r>
        <w:t>remade 2015 determination</w:t>
      </w:r>
      <w:r>
        <w:t>; minus</w:t>
      </w:r>
    </w:p>
    <w:p>
      <w:pPr>
        <w:pStyle w:val="NER-RC-List-1-MNum"/>
      </w:pPr>
      <w:r>
        <w:t>(b)</w:t>
        <w:tab/>
      </w:r>
      <w:r>
        <w:t>the sum of:</w:t>
      </w:r>
    </w:p>
    <w:p>
      <w:pPr>
        <w:pStyle w:val="NER-RC-List-2-MNum"/>
      </w:pPr>
      <w:r>
        <w:t>(1)</w:t>
        <w:tab/>
      </w:r>
      <w:r>
        <w:t xml:space="preserve">the </w:t>
      </w:r>
      <w:r>
        <w:t>total annual revenue</w:t>
      </w:r>
      <w:r>
        <w:t xml:space="preserve"> for </w:t>
      </w:r>
      <w:r>
        <w:t>distribution standard control services</w:t>
      </w:r>
      <w:r>
        <w:t xml:space="preserve"> for that </w:t>
      </w:r>
      <w:r>
        <w:t>NSW DNSP</w:t>
      </w:r>
      <w:r>
        <w:t xml:space="preserve"> for the first and second regulatory years of the </w:t>
      </w:r>
      <w:r>
        <w:t>current regulatory control period</w:t>
      </w:r>
      <w:r>
        <w:t xml:space="preserve"> in accordance with:</w:t>
      </w:r>
    </w:p>
    <w:p>
      <w:pPr>
        <w:pStyle w:val="NER-RC-List-3-MNum"/>
      </w:pPr>
      <w:r>
        <w:t>(i)</w:t>
        <w:tab/>
      </w:r>
      <w:r>
        <w:t>the formulae that give effect to the applicable control mechanism; and</w:t>
      </w:r>
    </w:p>
    <w:p>
      <w:pPr>
        <w:pStyle w:val="NER-RC-List-3-MNum"/>
      </w:pPr>
      <w:r>
        <w:t>(ii)</w:t>
        <w:tab/>
      </w:r>
      <w:r>
        <w:t xml:space="preserve">the applicable </w:t>
      </w:r>
      <w:r>
        <w:rPr>
          <w:i/>
        </w:rPr>
        <w:t>annual revenue requirement</w:t>
      </w:r>
      <w:r>
        <w:t>,</w:t>
      </w:r>
    </w:p>
    <w:p>
      <w:pPr>
        <w:pStyle w:val="NER-RC-Text-In-2"/>
      </w:pPr>
      <w:r>
        <w:t xml:space="preserve">under the </w:t>
      </w:r>
      <w:r>
        <w:t>2015 determination</w:t>
      </w:r>
      <w:r>
        <w:t>; plus</w:t>
      </w:r>
    </w:p>
    <w:p>
      <w:pPr>
        <w:pStyle w:val="NER-RC-List-2-MNum"/>
      </w:pPr>
      <w:r>
        <w:t>(2)</w:t>
        <w:tab/>
      </w:r>
      <w:r>
        <w:t xml:space="preserve">the </w:t>
      </w:r>
      <w:r>
        <w:t>total annual revenue</w:t>
      </w:r>
      <w:r>
        <w:t xml:space="preserve"> for </w:t>
      </w:r>
      <w:r>
        <w:t>distribution standard control services</w:t>
      </w:r>
      <w:r>
        <w:t xml:space="preserve"> for that </w:t>
      </w:r>
      <w:r>
        <w:t>NSW DNSP</w:t>
      </w:r>
      <w:r>
        <w:t xml:space="preserve"> for the third, fourth and final regulatory years of the </w:t>
      </w:r>
      <w:r>
        <w:t>current regulatory control period</w:t>
      </w:r>
      <w:r>
        <w:t xml:space="preserve"> under the undertakings that apply for those regulatory years,</w:t>
      </w:r>
    </w:p>
    <w:p>
      <w:pPr>
        <w:pStyle w:val="NER-RC-Para"/>
      </w:pPr>
      <w:r>
        <w:t xml:space="preserve">provided that such amount includes any adjustments necessary for the </w:t>
      </w:r>
      <w:r>
        <w:rPr>
          <w:i/>
        </w:rPr>
        <w:t>AER</w:t>
      </w:r>
      <w:r>
        <w:t xml:space="preserve"> to be satisfied that the amount achieves the </w:t>
      </w:r>
      <w:r>
        <w:t>revenue recovery principle</w:t>
      </w:r>
      <w:r>
        <w:t xml:space="preserve"> under clause </w:t>
      </w:r>
      <w:r>
        <w:t>8A.14.5(d)</w:t>
      </w:r>
      <w:r>
        <w:t xml:space="preserve"> or </w:t>
      </w:r>
      <w:r>
        <w:t>8A.14.6(d)</w:t>
      </w:r>
      <w:r>
        <w:t xml:space="preserve"> (as the case may be).</w:t>
      </w:r>
    </w:p>
    <w:p>
      <w:pPr>
        <w:pStyle w:val="NER-RC-Para"/>
      </w:pPr>
      <w:r>
        <w:rPr>
          <w:b/>
        </w:rPr>
        <w:t>Endeavour Energy</w:t>
      </w:r>
      <w:r>
        <w:t xml:space="preserve"> means the </w:t>
      </w:r>
      <w:r>
        <w:t>Endeavour Energy</w:t>
      </w:r>
      <w:r>
        <w:t xml:space="preserve"> Network Operator Partnership (ABN 11 247 365 823), which comprises of:</w:t>
      </w:r>
    </w:p>
    <w:p>
      <w:pPr>
        <w:pStyle w:val="NER-RC-List-1-MNum"/>
      </w:pPr>
      <w:r>
        <w:t>(a)</w:t>
        <w:tab/>
      </w:r>
      <w:r>
        <w:t>Edwards O Pty Limited (ACN 618 643 486) as trustee for the Edwards O Trust;</w:t>
      </w:r>
    </w:p>
    <w:p>
      <w:pPr>
        <w:pStyle w:val="NER-RC-List-1-MNum"/>
      </w:pPr>
      <w:r>
        <w:t>(b)</w:t>
        <w:tab/>
      </w:r>
      <w:r>
        <w:t>ERIC Epsilon Operator Corporation 1 Pty Ltd (ACN 617 221 735) as trustee for ERIC Epsilon Operator Trust 1;</w:t>
      </w:r>
    </w:p>
    <w:p>
      <w:pPr>
        <w:pStyle w:val="NER-RC-List-1-MNum"/>
      </w:pPr>
      <w:r>
        <w:t>(c)</w:t>
        <w:tab/>
      </w:r>
      <w:r>
        <w:t>ERIC Epsilon Operator Corporation 2 Pty Ltd (ACN 617 221 744) as trustee for ERIC Epsilon Operator Trust 2;</w:t>
      </w:r>
    </w:p>
    <w:p>
      <w:pPr>
        <w:pStyle w:val="NER-RC-List-1-MNum"/>
      </w:pPr>
      <w:r>
        <w:t>(d)</w:t>
        <w:tab/>
      </w:r>
      <w:r>
        <w:t>ERIC Epsilon Operator Corporation 3 Pty Ltd (ACN 617 221 753) as trustee for ERIC Epsilon Operator Trust 3; and</w:t>
      </w:r>
    </w:p>
    <w:p>
      <w:pPr>
        <w:pStyle w:val="NER-RC-List-1-MNum"/>
      </w:pPr>
      <w:r>
        <w:t>(e)</w:t>
        <w:tab/>
      </w:r>
      <w:r>
        <w:t>ERIC Epsilon Operator Corporation 4 Pty Ltd (ACN 617 221 771) as trustee for ERIC Epsilon Operator Trust 4.</w:t>
      </w:r>
    </w:p>
    <w:p>
      <w:pPr>
        <w:pStyle w:val="NER-RC-Para"/>
      </w:pPr>
      <w:r>
        <w:rPr>
          <w:b/>
        </w:rPr>
        <w:t>Essential Energy</w:t>
      </w:r>
      <w:r>
        <w:t xml:space="preserve"> means </w:t>
      </w:r>
      <w:r>
        <w:t>Essential Energy</w:t>
      </w:r>
      <w:r>
        <w:t xml:space="preserve">, the energy services corporation of that name (formerly known as Country Energy), which is constituted under section 7 of the </w:t>
      </w:r>
      <w:r>
        <w:rPr>
          <w:i/>
        </w:rPr>
        <w:t>Energy Services Corporations Act 1995</w:t>
      </w:r>
      <w:r>
        <w:t xml:space="preserve"> (NSW) and specified in Part 2 of Schedule 1 of that Act, or any successor to its business.</w:t>
      </w:r>
    </w:p>
    <w:p>
      <w:pPr>
        <w:pStyle w:val="NER-RC-Para"/>
      </w:pPr>
      <w:r>
        <w:rPr>
          <w:b/>
        </w:rPr>
        <w:t>NSW DNSP</w:t>
      </w:r>
      <w:r>
        <w:t xml:space="preserve"> means each of the following </w:t>
      </w:r>
      <w:r>
        <w:rPr>
          <w:i/>
        </w:rPr>
        <w:t>Distribution Network Service Providers</w:t>
      </w:r>
      <w:r>
        <w:t>:</w:t>
      </w:r>
    </w:p>
    <w:p>
      <w:pPr>
        <w:pStyle w:val="NER-RC-List-1-MNum"/>
      </w:pPr>
      <w:r>
        <w:t>(a)</w:t>
        <w:tab/>
      </w:r>
      <w:r>
        <w:t>Ausgrid</w:t>
      </w:r>
      <w:r>
        <w:t>;</w:t>
      </w:r>
    </w:p>
    <w:p>
      <w:pPr>
        <w:pStyle w:val="NER-RC-List-1-MNum"/>
      </w:pPr>
      <w:r>
        <w:t>(b)</w:t>
        <w:tab/>
      </w:r>
      <w:r>
        <w:t>Endeavour Energy</w:t>
      </w:r>
      <w:r>
        <w:t>; and</w:t>
      </w:r>
    </w:p>
    <w:p>
      <w:pPr>
        <w:pStyle w:val="NER-RC-List-1-MNum"/>
      </w:pPr>
      <w:r>
        <w:t>(c)</w:t>
        <w:tab/>
      </w:r>
      <w:r>
        <w:t>Essential Energy</w:t>
      </w:r>
      <w:r>
        <w:t>.</w:t>
      </w:r>
    </w:p>
    <w:p>
      <w:pPr>
        <w:pStyle w:val="NER-RC-Para"/>
      </w:pPr>
      <w:r>
        <w:rPr>
          <w:b/>
        </w:rPr>
        <w:t>NUOS charges</w:t>
      </w:r>
      <w:r>
        <w:t xml:space="preserve">, in respect of a </w:t>
      </w:r>
      <w:r>
        <w:t>NSW DNSP</w:t>
      </w:r>
      <w:r>
        <w:t xml:space="preserve">, means charges comprising that </w:t>
      </w:r>
      <w:r>
        <w:t>NSW DNSP</w:t>
      </w:r>
      <w:r>
        <w:t xml:space="preserve">'s prices for </w:t>
      </w:r>
      <w:r>
        <w:t>distribution standard control services</w:t>
      </w:r>
      <w:r>
        <w:t xml:space="preserve">, </w:t>
      </w:r>
      <w:r>
        <w:rPr>
          <w:i/>
        </w:rPr>
        <w:t>designated pricing proposal charges</w:t>
      </w:r>
      <w:r>
        <w:t xml:space="preserve"> and </w:t>
      </w:r>
      <w:r>
        <w:rPr>
          <w:i/>
        </w:rPr>
        <w:t>jurisdictional scheme amounts</w:t>
      </w:r>
      <w:r>
        <w:t>.</w:t>
      </w:r>
    </w:p>
    <w:p>
      <w:pPr>
        <w:pStyle w:val="NER-RC-Para"/>
      </w:pPr>
      <w:r>
        <w:rPr>
          <w:b/>
        </w:rPr>
        <w:t>regulatory year</w:t>
      </w:r>
      <w:r>
        <w:t xml:space="preserve"> means each consecutive period of 12 calendar months in the </w:t>
      </w:r>
      <w:r>
        <w:t>current regulatory control period</w:t>
      </w:r>
      <w:r>
        <w:t xml:space="preserve"> or </w:t>
      </w:r>
      <w:r>
        <w:t>subsequent regulatory control period</w:t>
      </w:r>
      <w:r>
        <w:t xml:space="preserve"> (as the case may be) (the </w:t>
      </w:r>
      <w:r>
        <w:t>current regulatory control period</w:t>
      </w:r>
      <w:r>
        <w:t xml:space="preserve"> and </w:t>
      </w:r>
      <w:r>
        <w:t>subsequent regulatory control period</w:t>
      </w:r>
      <w:r>
        <w:t xml:space="preserve"> each being a </w:t>
      </w:r>
      <w:r>
        <w:rPr>
          <w:b/>
        </w:rPr>
        <w:t>regulatory control period</w:t>
      </w:r>
      <w:r>
        <w:t xml:space="preserve">), the first such 12 month period commencing at the beginning of the </w:t>
      </w:r>
      <w:r>
        <w:t>regulatory control period</w:t>
      </w:r>
      <w:r>
        <w:t xml:space="preserve"> and the final 12 month period ending at the end of the </w:t>
      </w:r>
      <w:r>
        <w:t>regulatory control period</w:t>
      </w:r>
      <w:r>
        <w:t>.</w:t>
      </w:r>
    </w:p>
    <w:p>
      <w:pPr>
        <w:pStyle w:val="NER-RC-Para"/>
      </w:pPr>
      <w:r>
        <w:rPr>
          <w:b/>
        </w:rPr>
        <w:t>remade 2015 determination</w:t>
      </w:r>
      <w:r>
        <w:t xml:space="preserve">, in respect of each </w:t>
      </w:r>
      <w:r>
        <w:t>NSW DNSP</w:t>
      </w:r>
      <w:r>
        <w:t xml:space="preserve">, means the </w:t>
      </w:r>
      <w:r>
        <w:t>2015 determination</w:t>
      </w:r>
      <w:r>
        <w:t xml:space="preserve"> of that </w:t>
      </w:r>
      <w:r>
        <w:t>NSW DNSP</w:t>
      </w:r>
      <w:r>
        <w:t xml:space="preserve"> as remade by the </w:t>
      </w:r>
      <w:r>
        <w:rPr>
          <w:i/>
        </w:rPr>
        <w:t>AER</w:t>
      </w:r>
      <w:r>
        <w:t xml:space="preserve"> following the </w:t>
      </w:r>
      <w:r>
        <w:t>Tribunal's decision</w:t>
      </w:r>
      <w:r>
        <w:t>.</w:t>
      </w:r>
    </w:p>
    <w:p>
      <w:pPr>
        <w:pStyle w:val="NER-RC-Para"/>
      </w:pPr>
      <w:r>
        <w:rPr>
          <w:b/>
        </w:rPr>
        <w:t>revenue recovery principle</w:t>
      </w:r>
      <w:r>
        <w:t xml:space="preserve">, in respect of a </w:t>
      </w:r>
      <w:r>
        <w:t>NSW DNSP</w:t>
      </w:r>
      <w:r>
        <w:t xml:space="preserve">, means the principle that the </w:t>
      </w:r>
      <w:r>
        <w:t>NSW DNSP</w:t>
      </w:r>
      <w:r>
        <w:t xml:space="preserve"> must be given the ability to recover the same, but no more, revenue (in net present value equivalent terms) as it would have recovered if:</w:t>
      </w:r>
    </w:p>
    <w:p>
      <w:pPr>
        <w:pStyle w:val="NER-RC-List-1-MNum"/>
      </w:pPr>
      <w:r>
        <w:t>(a)</w:t>
        <w:tab/>
      </w:r>
      <w:r>
        <w:t xml:space="preserve">the </w:t>
      </w:r>
      <w:r>
        <w:t>remade 2015 determination</w:t>
      </w:r>
      <w:r>
        <w:t xml:space="preserve"> had been in force from the commencement of the </w:t>
      </w:r>
      <w:r>
        <w:t>current regulatory control period</w:t>
      </w:r>
      <w:r>
        <w:t>; and</w:t>
      </w:r>
    </w:p>
    <w:p>
      <w:pPr>
        <w:pStyle w:val="NER-RC-List-1-MNum"/>
      </w:pPr>
      <w:r>
        <w:t>(b)</w:t>
        <w:tab/>
      </w:r>
      <w:r>
        <w:t xml:space="preserve">the formulae giving effect to the control mechanisms specified in the </w:t>
      </w:r>
      <w:r>
        <w:t>remade 2015 determination</w:t>
      </w:r>
      <w:r>
        <w:t xml:space="preserve"> had been applied in each </w:t>
      </w:r>
      <w:r>
        <w:t>regulatory year</w:t>
      </w:r>
      <w:r>
        <w:t xml:space="preserve"> of the </w:t>
      </w:r>
      <w:r>
        <w:t>current regulatory control period</w:t>
      </w:r>
      <w:r>
        <w:t>.</w:t>
      </w:r>
    </w:p>
    <w:p>
      <w:pPr>
        <w:pStyle w:val="NER-RC-Para"/>
      </w:pPr>
      <w:r>
        <w:rPr>
          <w:b/>
        </w:rPr>
        <w:t>scheme</w:t>
      </w:r>
      <w:r>
        <w:t xml:space="preserve">, in respect of a </w:t>
      </w:r>
      <w:r>
        <w:t>NSW DNSP</w:t>
      </w:r>
      <w:r>
        <w:t xml:space="preserve">, means any applicable </w:t>
      </w:r>
      <w:r>
        <w:rPr>
          <w:i/>
        </w:rPr>
        <w:t>efficiency benefit sharing scheme</w:t>
      </w:r>
      <w:r>
        <w:t xml:space="preserve">, </w:t>
      </w:r>
      <w:r>
        <w:rPr>
          <w:i/>
        </w:rPr>
        <w:t>capital expenditure sharing scheme</w:t>
      </w:r>
      <w:r>
        <w:t xml:space="preserve">, </w:t>
      </w:r>
      <w:r>
        <w:rPr>
          <w:i/>
        </w:rPr>
        <w:t>service target performance incentive scheme</w:t>
      </w:r>
      <w:r>
        <w:t xml:space="preserve">, </w:t>
      </w:r>
      <w:r>
        <w:rPr>
          <w:i/>
        </w:rPr>
        <w:t>demand management incentive scheme</w:t>
      </w:r>
      <w:r>
        <w:t xml:space="preserve">, </w:t>
      </w:r>
      <w:r>
        <w:rPr>
          <w:i/>
        </w:rPr>
        <w:t>demand management innovation allowance mechanism</w:t>
      </w:r>
      <w:r>
        <w:t xml:space="preserve"> and </w:t>
      </w:r>
      <w:r>
        <w:rPr>
          <w:i/>
        </w:rPr>
        <w:t>small-scale incentive scheme</w:t>
      </w:r>
      <w:r>
        <w:t>.</w:t>
      </w:r>
    </w:p>
    <w:p>
      <w:pPr>
        <w:pStyle w:val="NER-RC-Para"/>
      </w:pPr>
      <w:r>
        <w:rPr>
          <w:b/>
        </w:rPr>
        <w:t>subsequent adjustment amount</w:t>
      </w:r>
      <w:r>
        <w:t xml:space="preserve">, in respect of a </w:t>
      </w:r>
      <w:r>
        <w:t>NSW DNSP</w:t>
      </w:r>
      <w:r>
        <w:t>, means an amount that:</w:t>
      </w:r>
    </w:p>
    <w:p>
      <w:pPr>
        <w:pStyle w:val="NER-RC-List-1-MNum"/>
      </w:pPr>
      <w:r>
        <w:t>(a)</w:t>
        <w:tab/>
      </w:r>
      <w:r>
        <w:t xml:space="preserve">is equivalent in net present value terms to the </w:t>
      </w:r>
      <w:r>
        <w:t>adjustment amount</w:t>
      </w:r>
      <w:r>
        <w:t xml:space="preserve">, incorporating any adjustments made under clause </w:t>
      </w:r>
      <w:r>
        <w:t>8A.14.4(d)(1)(ii)</w:t>
      </w:r>
      <w:r>
        <w:t xml:space="preserve"> or </w:t>
      </w:r>
      <w:r>
        <w:t>8A.14.4(d)(2)(ii)</w:t>
      </w:r>
      <w:r>
        <w:t xml:space="preserve"> (as the case may be); and</w:t>
      </w:r>
    </w:p>
    <w:p>
      <w:pPr>
        <w:pStyle w:val="NER-RC-List-1-MNum"/>
      </w:pPr>
      <w:r>
        <w:t>(b)</w:t>
        <w:tab/>
      </w:r>
      <w:r>
        <w:t xml:space="preserve">represents a revenue increase (where the </w:t>
      </w:r>
      <w:r>
        <w:t>adjustment amount</w:t>
      </w:r>
      <w:r>
        <w:t xml:space="preserve"> is a negative amount) or a revenue decrease (where the </w:t>
      </w:r>
      <w:r>
        <w:t>adjustment amount</w:t>
      </w:r>
      <w:r>
        <w:t xml:space="preserve"> is a positive amount) to the </w:t>
      </w:r>
      <w:r>
        <w:rPr>
          <w:i/>
        </w:rPr>
        <w:t>annual revenue requirement</w:t>
      </w:r>
      <w:r>
        <w:t xml:space="preserve"> of the first </w:t>
      </w:r>
      <w:r>
        <w:t>regulatory year</w:t>
      </w:r>
      <w:r>
        <w:t xml:space="preserve"> of the </w:t>
      </w:r>
      <w:r>
        <w:t>subsequent regulatory control period</w:t>
      </w:r>
      <w:r>
        <w:t>.</w:t>
      </w:r>
    </w:p>
    <w:p>
      <w:pPr>
        <w:pStyle w:val="NER-RC-Para"/>
      </w:pPr>
      <w:r>
        <w:rPr>
          <w:b/>
        </w:rPr>
        <w:t>subsequent distribution determination</w:t>
      </w:r>
      <w:r>
        <w:t xml:space="preserve">, in respect of each </w:t>
      </w:r>
      <w:r>
        <w:t>NSW DNSP</w:t>
      </w:r>
      <w:r>
        <w:t xml:space="preserve">, means the distribution determination for that </w:t>
      </w:r>
      <w:r>
        <w:t>NSW DNSP</w:t>
      </w:r>
      <w:r>
        <w:t xml:space="preserve"> that is made by the </w:t>
      </w:r>
      <w:r>
        <w:rPr>
          <w:i/>
        </w:rPr>
        <w:t>AER</w:t>
      </w:r>
      <w:r>
        <w:t xml:space="preserve"> for the </w:t>
      </w:r>
      <w:r>
        <w:t>subsequent regulatory control period</w:t>
      </w:r>
      <w:r>
        <w:t>.</w:t>
      </w:r>
    </w:p>
    <w:p>
      <w:pPr>
        <w:pStyle w:val="NER-RC-Para"/>
      </w:pPr>
      <w:r>
        <w:rPr>
          <w:b/>
        </w:rPr>
        <w:t>subsequent regulatory control period</w:t>
      </w:r>
      <w:r>
        <w:t xml:space="preserve">, in respect of a </w:t>
      </w:r>
      <w:r>
        <w:t>NSW DNSP</w:t>
      </w:r>
      <w:r>
        <w:t xml:space="preserve">, means the </w:t>
      </w:r>
      <w:r>
        <w:rPr>
          <w:i/>
        </w:rPr>
        <w:t>regulatory control period</w:t>
      </w:r>
      <w:r>
        <w:t xml:space="preserve"> for that </w:t>
      </w:r>
      <w:r>
        <w:t>NSW DNSP</w:t>
      </w:r>
      <w:r>
        <w:t xml:space="preserve"> that immediately follows the </w:t>
      </w:r>
      <w:r>
        <w:t>current regulatory control period</w:t>
      </w:r>
      <w:r>
        <w:t>.</w:t>
      </w:r>
    </w:p>
    <w:p>
      <w:pPr>
        <w:pStyle w:val="NER-RC-Para"/>
      </w:pPr>
      <w:r>
        <w:rPr>
          <w:b/>
        </w:rPr>
        <w:t>substituted total annual revenue amount</w:t>
      </w:r>
      <w:r>
        <w:t xml:space="preserve"> has the meaning given in </w:t>
      </w:r>
      <w:r>
        <w:t>clause 8A.14.4(d)</w:t>
      </w:r>
      <w:r>
        <w:t>.</w:t>
      </w:r>
    </w:p>
    <w:p>
      <w:pPr>
        <w:pStyle w:val="NER-RC-Para"/>
      </w:pPr>
      <w:r>
        <w:rPr>
          <w:b/>
        </w:rPr>
        <w:t>total annual revenue</w:t>
      </w:r>
      <w:r>
        <w:t xml:space="preserve">, in respect of a </w:t>
      </w:r>
      <w:r>
        <w:t>NSW DNSP</w:t>
      </w:r>
      <w:r>
        <w:t xml:space="preserve">, means the </w:t>
      </w:r>
      <w:r>
        <w:t>total revenue</w:t>
      </w:r>
      <w:r>
        <w:t xml:space="preserve"> that the </w:t>
      </w:r>
      <w:r>
        <w:t>NSW DNSP</w:t>
      </w:r>
      <w:r>
        <w:t xml:space="preserve"> is entitled to earn from the provision of </w:t>
      </w:r>
      <w:r>
        <w:t>distribution standard control services</w:t>
      </w:r>
      <w:r>
        <w:t xml:space="preserve"> or </w:t>
      </w:r>
      <w:r>
        <w:rPr>
          <w:i/>
        </w:rPr>
        <w:t>transmission standard control services</w:t>
      </w:r>
      <w:r>
        <w:t xml:space="preserve"> (as the case may be) for the relevant </w:t>
      </w:r>
      <w:r>
        <w:t>regulatory year</w:t>
      </w:r>
      <w:r>
        <w:t>.</w:t>
      </w:r>
    </w:p>
    <w:p>
      <w:pPr>
        <w:pStyle w:val="NER-RC-Para"/>
      </w:pPr>
      <w:r>
        <w:rPr>
          <w:b/>
        </w:rPr>
        <w:t>transmission variation amount</w:t>
      </w:r>
      <w:r>
        <w:t xml:space="preserve">, in respect of a </w:t>
      </w:r>
      <w:r>
        <w:t>NSW DNSP</w:t>
      </w:r>
      <w:r>
        <w:t>, means an amount equal to:</w:t>
      </w:r>
    </w:p>
    <w:p>
      <w:pPr>
        <w:pStyle w:val="NER-RC-List-1-MNum"/>
      </w:pPr>
      <w:r>
        <w:t>(a)</w:t>
        <w:tab/>
      </w:r>
      <w:r>
        <w:t xml:space="preserve">the sum of the </w:t>
      </w:r>
      <w:r>
        <w:t>total annual revenue</w:t>
      </w:r>
      <w:r>
        <w:t xml:space="preserve"> for </w:t>
      </w:r>
      <w:r>
        <w:rPr>
          <w:i/>
        </w:rPr>
        <w:t>transmission standard control services</w:t>
      </w:r>
      <w:r>
        <w:t xml:space="preserve"> for that </w:t>
      </w:r>
      <w:r>
        <w:t>NSW DNSP</w:t>
      </w:r>
      <w:r>
        <w:t xml:space="preserve"> for each </w:t>
      </w:r>
      <w:r>
        <w:t>regulatory year</w:t>
      </w:r>
      <w:r>
        <w:t xml:space="preserve"> of the </w:t>
      </w:r>
      <w:r>
        <w:t>current regulatory control period</w:t>
      </w:r>
      <w:r>
        <w:t xml:space="preserve"> in accordance with:</w:t>
      </w:r>
    </w:p>
    <w:p>
      <w:pPr>
        <w:pStyle w:val="NER-RC-List-2-MNum"/>
      </w:pPr>
      <w:r>
        <w:t>(1)</w:t>
        <w:tab/>
      </w:r>
      <w:r>
        <w:t>the formulae that give effect to the applicable control mechanism; and</w:t>
      </w:r>
    </w:p>
    <w:p>
      <w:pPr>
        <w:pStyle w:val="NER-RC-List-2-MNum"/>
      </w:pPr>
      <w:r>
        <w:t>(2)</w:t>
        <w:tab/>
      </w:r>
      <w:r>
        <w:t xml:space="preserve">the applicable </w:t>
      </w:r>
      <w:r>
        <w:rPr>
          <w:i/>
        </w:rPr>
        <w:t>annual revenue requirement</w:t>
      </w:r>
      <w:r>
        <w:t>,</w:t>
      </w:r>
    </w:p>
    <w:p>
      <w:pPr>
        <w:pStyle w:val="NER-RC-Text-In-1"/>
      </w:pPr>
      <w:r>
        <w:t xml:space="preserve">under the </w:t>
      </w:r>
      <w:r>
        <w:t>remade 2015 determination</w:t>
      </w:r>
      <w:r>
        <w:t>; minus</w:t>
      </w:r>
    </w:p>
    <w:p>
      <w:pPr>
        <w:pStyle w:val="NER-RC-List-1-MNum"/>
      </w:pPr>
      <w:r>
        <w:t>(b)</w:t>
        <w:tab/>
      </w:r>
      <w:r>
        <w:t>the sum of:</w:t>
      </w:r>
    </w:p>
    <w:p>
      <w:pPr>
        <w:pStyle w:val="NER-RC-List-2-MNum"/>
      </w:pPr>
      <w:r>
        <w:t>(1)</w:t>
        <w:tab/>
      </w:r>
      <w:r>
        <w:t xml:space="preserve">the </w:t>
      </w:r>
      <w:r>
        <w:t>total annual revenue</w:t>
      </w:r>
      <w:r>
        <w:t xml:space="preserve"> for </w:t>
      </w:r>
      <w:r>
        <w:rPr>
          <w:i/>
        </w:rPr>
        <w:t>transmission standard control services</w:t>
      </w:r>
      <w:r>
        <w:t xml:space="preserve"> for that </w:t>
      </w:r>
      <w:r>
        <w:t>NSW DNSP</w:t>
      </w:r>
      <w:r>
        <w:t xml:space="preserve"> for the first, second and third regulatory years of the </w:t>
      </w:r>
      <w:r>
        <w:t>current regulatory control period</w:t>
      </w:r>
      <w:r>
        <w:t xml:space="preserve"> in accordance with:</w:t>
      </w:r>
    </w:p>
    <w:p>
      <w:pPr>
        <w:pStyle w:val="NER-RC-List-3-MNum"/>
      </w:pPr>
      <w:r>
        <w:t>(i)</w:t>
        <w:tab/>
      </w:r>
      <w:r>
        <w:t>the formulae that give effect to the applicable control mechanism; and</w:t>
      </w:r>
    </w:p>
    <w:p>
      <w:pPr>
        <w:pStyle w:val="NER-RC-List-3-MNum"/>
      </w:pPr>
      <w:r>
        <w:t>(ii)</w:t>
        <w:tab/>
      </w:r>
      <w:r>
        <w:t xml:space="preserve">the applicable </w:t>
      </w:r>
      <w:r>
        <w:rPr>
          <w:i/>
        </w:rPr>
        <w:t>annual revenue requirement</w:t>
      </w:r>
      <w:r>
        <w:t>,</w:t>
      </w:r>
    </w:p>
    <w:p>
      <w:pPr>
        <w:pStyle w:val="NER-RC-Text-In-1"/>
      </w:pPr>
      <w:r>
        <w:t xml:space="preserve">under the </w:t>
      </w:r>
      <w:r>
        <w:t>2015 determination</w:t>
      </w:r>
      <w:r>
        <w:t>; plus</w:t>
      </w:r>
    </w:p>
    <w:p>
      <w:pPr>
        <w:pStyle w:val="NER-RC-List-2-MNum"/>
      </w:pPr>
      <w:r>
        <w:t>(2)</w:t>
        <w:tab/>
      </w:r>
      <w:r>
        <w:t xml:space="preserve">the </w:t>
      </w:r>
      <w:r>
        <w:t>total annual revenue</w:t>
      </w:r>
      <w:r>
        <w:t xml:space="preserve"> for </w:t>
      </w:r>
      <w:r>
        <w:rPr>
          <w:i/>
        </w:rPr>
        <w:t>transmission standard control services</w:t>
      </w:r>
      <w:r>
        <w:t xml:space="preserve"> for that </w:t>
      </w:r>
      <w:r>
        <w:t>NSW DNSP</w:t>
      </w:r>
      <w:r>
        <w:t xml:space="preserve"> for the fourth and final regulatory years of the </w:t>
      </w:r>
      <w:r>
        <w:t>current regulatory control period</w:t>
      </w:r>
      <w:r>
        <w:t xml:space="preserve"> under the undertakings that apply for those regulatory years,</w:t>
      </w:r>
    </w:p>
    <w:p>
      <w:pPr>
        <w:pStyle w:val="NER-RC-Para"/>
      </w:pPr>
      <w:r>
        <w:t xml:space="preserve">provided that such amount includes any adjustments necessary for the </w:t>
      </w:r>
      <w:r>
        <w:rPr>
          <w:i/>
        </w:rPr>
        <w:t>AER</w:t>
      </w:r>
      <w:r>
        <w:t xml:space="preserve"> to be satisfied that the amount achieves the </w:t>
      </w:r>
      <w:r>
        <w:t>revenue recovery principle</w:t>
      </w:r>
      <w:r>
        <w:t xml:space="preserve"> under clause </w:t>
      </w:r>
      <w:r>
        <w:t>8A.14.5(d)</w:t>
      </w:r>
      <w:r>
        <w:t xml:space="preserve"> or </w:t>
      </w:r>
      <w:r>
        <w:t>8A.14.6(d)</w:t>
      </w:r>
      <w:r>
        <w:t xml:space="preserve"> (as the case may be).</w:t>
      </w:r>
    </w:p>
    <w:p>
      <w:pPr>
        <w:pStyle w:val="NER-RC-Para"/>
      </w:pPr>
      <w:r>
        <w:rPr>
          <w:b/>
        </w:rPr>
        <w:t>Tribunal</w:t>
      </w:r>
      <w:r>
        <w:t xml:space="preserve"> has the meaning given in the </w:t>
      </w:r>
      <w:r>
        <w:rPr>
          <w:i/>
        </w:rPr>
        <w:t>NEL</w:t>
      </w:r>
      <w:r>
        <w:t>.</w:t>
      </w:r>
    </w:p>
    <w:p>
      <w:pPr>
        <w:pStyle w:val="NER-RC-Para"/>
      </w:pPr>
      <w:r>
        <w:rPr>
          <w:b/>
        </w:rPr>
        <w:t>Tribunal's decision</w:t>
      </w:r>
      <w:r>
        <w:t xml:space="preserve"> means the decision of the </w:t>
      </w:r>
      <w:r>
        <w:t>Tribunal</w:t>
      </w:r>
      <w:r>
        <w:t xml:space="preserve"> in relation to the </w:t>
      </w:r>
      <w:r>
        <w:t>2015 determination</w:t>
      </w:r>
      <w:r>
        <w:t xml:space="preserve"> of each </w:t>
      </w:r>
      <w:r>
        <w:t>NSW DNSP</w:t>
      </w:r>
      <w:r>
        <w:t xml:space="preserve"> delivered on 26 February 2016 to remit the matter back to the </w:t>
      </w:r>
      <w:r>
        <w:rPr>
          <w:i/>
        </w:rPr>
        <w:t>AER</w:t>
      </w:r>
      <w:r>
        <w:t xml:space="preserve"> pursuant to section 71P(2)(c) of the </w:t>
      </w:r>
      <w:r>
        <w:rPr>
          <w:i/>
        </w:rPr>
        <w:t>NEL</w:t>
      </w:r>
      <w:r>
        <w:t>, as varied as a consequence of the outcome of judicial review of that decision.</w:t>
      </w:r>
    </w:p>
    <w:p>
      <w:pPr>
        <w:pStyle w:val="NER-RC-Para"/>
      </w:pPr>
      <w:r>
        <w:rPr>
          <w:b/>
        </w:rPr>
        <w:t>undertaking</w:t>
      </w:r>
      <w:r>
        <w:t xml:space="preserve">, in respect of a </w:t>
      </w:r>
      <w:r>
        <w:t>NSW DNSP</w:t>
      </w:r>
      <w:r>
        <w:t xml:space="preserve">, means an </w:t>
      </w:r>
      <w:r>
        <w:t>undertaking</w:t>
      </w:r>
      <w:r>
        <w:t xml:space="preserve"> given to, and accepted by, the </w:t>
      </w:r>
      <w:r>
        <w:rPr>
          <w:i/>
        </w:rPr>
        <w:t>AER</w:t>
      </w:r>
      <w:r>
        <w:t xml:space="preserve"> under section 59A of the </w:t>
      </w:r>
      <w:r>
        <w:rPr>
          <w:i/>
        </w:rPr>
        <w:t>NEL</w:t>
      </w:r>
      <w:r>
        <w:t xml:space="preserve"> in respect of the revenue earned and/or prices charged by that </w:t>
      </w:r>
      <w:r>
        <w:t>NSW DNSP</w:t>
      </w:r>
      <w:r>
        <w:t xml:space="preserve"> for the relevant </w:t>
      </w:r>
      <w:r>
        <w:t>regulatory year</w:t>
      </w:r>
      <w:r>
        <w:t>.</w:t>
      </w:r>
    </w:p>
    <w:p>
      <w:pPr>
        <w:pStyle w:val="NER-Cl-Title-Lvl-4"/>
      </w:pPr>
      <w:bookmarkStart w:id="23" w:name="_Toc256001033"/>
      <w:r>
        <w:t>8A.14.2</w:t>
        <w:tab/>
      </w:r>
      <w:r>
        <w:t>Expiry date</w:t>
      </w:r>
      <w:bookmarkEnd w:id="23"/>
    </w:p>
    <w:p>
      <w:pPr>
        <w:pStyle w:val="NER-RC-Para"/>
      </w:pPr>
      <w:r>
        <w:t xml:space="preserve">This </w:t>
      </w:r>
      <w:r>
        <w:rPr>
          <w:i/>
        </w:rPr>
        <w:t>participant derogation</w:t>
      </w:r>
      <w:r>
        <w:t xml:space="preserve"> expires on the date that immediately follows the end of the </w:t>
      </w:r>
      <w:r>
        <w:t>subsequent regulatory control period</w:t>
      </w:r>
      <w:r>
        <w:t>.</w:t>
      </w:r>
    </w:p>
    <w:p>
      <w:pPr>
        <w:pStyle w:val="NER-Cl-Title-Lvl-4"/>
      </w:pPr>
      <w:bookmarkStart w:id="24" w:name="_Toc256001034"/>
      <w:r>
        <w:t>8A.14.3</w:t>
        <w:tab/>
      </w:r>
      <w:r>
        <w:t>Application of Rule 8A.14</w:t>
      </w:r>
      <w:bookmarkEnd w:id="24"/>
    </w:p>
    <w:p>
      <w:pPr>
        <w:pStyle w:val="NER-RC-List-1-MNum"/>
      </w:pPr>
      <w:r>
        <w:t>(a)</w:t>
        <w:tab/>
      </w:r>
      <w:r>
        <w:t xml:space="preserve">This </w:t>
      </w:r>
      <w:r>
        <w:rPr>
          <w:i/>
        </w:rPr>
        <w:t>participant derogation</w:t>
      </w:r>
      <w:r>
        <w:t xml:space="preserve"> prevails to the extent of any inconsistency with:</w:t>
      </w:r>
    </w:p>
    <w:p>
      <w:pPr>
        <w:pStyle w:val="NER-RC-List-2-MNum"/>
      </w:pPr>
      <w:r>
        <w:t>(1)</w:t>
        <w:tab/>
      </w:r>
      <w:r>
        <w:t xml:space="preserve">any other provision of the </w:t>
      </w:r>
      <w:r>
        <w:rPr>
          <w:i/>
        </w:rPr>
        <w:t>Rules</w:t>
      </w:r>
      <w:r>
        <w:t>; and</w:t>
      </w:r>
    </w:p>
    <w:p>
      <w:pPr>
        <w:pStyle w:val="NER-RC-List-2-MNum"/>
      </w:pPr>
      <w:r>
        <w:t>(2)</w:t>
        <w:tab/>
      </w:r>
      <w:r>
        <w:t xml:space="preserve">a </w:t>
      </w:r>
      <w:r>
        <w:t>remade 2015 determination</w:t>
      </w:r>
      <w:r>
        <w:t>.</w:t>
      </w:r>
    </w:p>
    <w:p>
      <w:pPr>
        <w:pStyle w:val="NER-RC-List-1-MNum"/>
      </w:pPr>
      <w:r>
        <w:t>(b)</w:t>
        <w:tab/>
      </w:r>
      <w:r>
        <w:t xml:space="preserve">Nothing in this </w:t>
      </w:r>
      <w:r>
        <w:rPr>
          <w:i/>
        </w:rPr>
        <w:t>participant derogation</w:t>
      </w:r>
      <w:r>
        <w:t xml:space="preserve"> has the effect of:</w:t>
      </w:r>
    </w:p>
    <w:p>
      <w:pPr>
        <w:pStyle w:val="NER-RC-List-2-MNum"/>
      </w:pPr>
      <w:r>
        <w:t>(1)</w:t>
        <w:tab/>
      </w:r>
      <w:r>
        <w:t xml:space="preserve">changing the application of the </w:t>
      </w:r>
      <w:r>
        <w:rPr>
          <w:i/>
        </w:rPr>
        <w:t>Rules</w:t>
      </w:r>
      <w:r>
        <w:t xml:space="preserve"> to the making of a </w:t>
      </w:r>
      <w:r>
        <w:t>remade 2015 determination</w:t>
      </w:r>
      <w:r>
        <w:t>; or</w:t>
      </w:r>
    </w:p>
    <w:p>
      <w:pPr>
        <w:pStyle w:val="NER-RC-List-2-MNum"/>
      </w:pPr>
      <w:r>
        <w:t>(2)</w:t>
        <w:tab/>
      </w:r>
      <w:r>
        <w:t xml:space="preserve">rendering a change, in whole or in part, to the terms of a distribution determination that applies in respect of the </w:t>
      </w:r>
      <w:r>
        <w:t>current regulatory control period</w:t>
      </w:r>
      <w:r>
        <w:t>.</w:t>
      </w:r>
    </w:p>
    <w:p>
      <w:pPr>
        <w:pStyle w:val="NER-Cl-Title-Lvl-4"/>
      </w:pPr>
      <w:bookmarkStart w:id="25" w:name="_Toc256001035"/>
      <w:r>
        <w:t>8A.14.4</w:t>
        <w:tab/>
      </w:r>
      <w:r>
        <w:t>Recovery of revenue across the current regulatory control period and subsequent regulatory control period</w:t>
      </w:r>
      <w:bookmarkEnd w:id="25"/>
    </w:p>
    <w:p>
      <w:pPr>
        <w:pStyle w:val="NER-Item-group-Title"/>
      </w:pPr>
      <w:r>
        <w:t>General</w:t>
      </w:r>
    </w:p>
    <w:p>
      <w:pPr>
        <w:pStyle w:val="NER-RC-List-1-MNum"/>
      </w:pPr>
      <w:r>
        <w:t>(a)</w:t>
        <w:tab/>
      </w:r>
      <w:r>
        <w:t xml:space="preserve">This clause 8A.14.4 applies in respect of a </w:t>
      </w:r>
      <w:r>
        <w:t>NSW DNSP</w:t>
      </w:r>
      <w:r>
        <w:t xml:space="preserve"> if a </w:t>
      </w:r>
      <w:r>
        <w:t>remade 2015 determination</w:t>
      </w:r>
      <w:r>
        <w:t xml:space="preserve"> is made by the </w:t>
      </w:r>
      <w:r>
        <w:rPr>
          <w:i/>
        </w:rPr>
        <w:t>AER</w:t>
      </w:r>
      <w:r>
        <w:t xml:space="preserve"> in respect of that </w:t>
      </w:r>
      <w:r>
        <w:t>NSW DNSP</w:t>
      </w:r>
      <w:r>
        <w:t xml:space="preserve"> prior to 1 March 2018.</w:t>
      </w:r>
    </w:p>
    <w:p>
      <w:pPr>
        <w:pStyle w:val="NER-Item-group-Title"/>
      </w:pPr>
      <w:r>
        <w:t>Adjustment determination</w:t>
      </w:r>
    </w:p>
    <w:p>
      <w:pPr>
        <w:pStyle w:val="NER-RC-List-1-MNum"/>
      </w:pPr>
      <w:r>
        <w:t>(b)</w:t>
        <w:tab/>
      </w:r>
      <w:r>
        <w:t xml:space="preserve">The </w:t>
      </w:r>
      <w:r>
        <w:rPr>
          <w:i/>
        </w:rPr>
        <w:t>AER</w:t>
      </w:r>
      <w:r>
        <w:t xml:space="preserve"> may determine at the time of making the </w:t>
      </w:r>
      <w:r>
        <w:t>remade 2015 determination</w:t>
      </w:r>
      <w:r>
        <w:t xml:space="preserve"> for the relevant </w:t>
      </w:r>
      <w:r>
        <w:t>NSW DNSP</w:t>
      </w:r>
      <w:r>
        <w:t>:</w:t>
      </w:r>
    </w:p>
    <w:p>
      <w:pPr>
        <w:pStyle w:val="NER-RC-List-2-MNum"/>
      </w:pPr>
      <w:r>
        <w:t>(1)</w:t>
        <w:tab/>
      </w:r>
      <w:r>
        <w:t xml:space="preserve">an </w:t>
      </w:r>
      <w:r>
        <w:t>adjustment amount</w:t>
      </w:r>
      <w:r>
        <w:t>; and</w:t>
      </w:r>
    </w:p>
    <w:p>
      <w:pPr>
        <w:pStyle w:val="NER-RC-List-2-MNum"/>
      </w:pPr>
      <w:r>
        <w:t>(2)</w:t>
        <w:tab/>
      </w:r>
      <w:r>
        <w:t xml:space="preserve">a </w:t>
      </w:r>
      <w:r>
        <w:t>subsequent adjustment amount</w:t>
      </w:r>
      <w:r>
        <w:t>,</w:t>
      </w:r>
    </w:p>
    <w:p>
      <w:pPr>
        <w:pStyle w:val="NER-RC-Text-In-1"/>
      </w:pPr>
      <w:r>
        <w:t xml:space="preserve">if the </w:t>
      </w:r>
      <w:r>
        <w:rPr>
          <w:i/>
        </w:rPr>
        <w:t>AER</w:t>
      </w:r>
      <w:r>
        <w:t xml:space="preserve"> is satisfied that the application of the </w:t>
      </w:r>
      <w:r>
        <w:t>adjustment amount</w:t>
      </w:r>
      <w:r>
        <w:t xml:space="preserve"> and </w:t>
      </w:r>
      <w:r>
        <w:t>subsequent adjustment amount</w:t>
      </w:r>
      <w:r>
        <w:t xml:space="preserve"> under paragraphs (d) and (e), respectively, would:</w:t>
      </w:r>
    </w:p>
    <w:p>
      <w:pPr>
        <w:pStyle w:val="NER-RC-List-2-MNum"/>
      </w:pPr>
      <w:r>
        <w:t>(3)</w:t>
        <w:tab/>
      </w:r>
      <w:r>
        <w:t xml:space="preserve">be reasonably likely to minimise variations in </w:t>
      </w:r>
      <w:r>
        <w:t>NUOS charges</w:t>
      </w:r>
      <w:r>
        <w:t>:</w:t>
      </w:r>
    </w:p>
    <w:p>
      <w:pPr>
        <w:pStyle w:val="NER-RC-List-3-MNum"/>
      </w:pPr>
      <w:r>
        <w:t>(i)</w:t>
        <w:tab/>
      </w:r>
      <w:r>
        <w:t xml:space="preserve">between the fourth and final regulatory years of the </w:t>
      </w:r>
      <w:r>
        <w:t>current regulatory control period</w:t>
      </w:r>
      <w:r>
        <w:t>; and</w:t>
      </w:r>
    </w:p>
    <w:p>
      <w:pPr>
        <w:pStyle w:val="NER-RC-List-3-MNum"/>
      </w:pPr>
      <w:r>
        <w:t>(ii)</w:t>
        <w:tab/>
      </w:r>
      <w:r>
        <w:t xml:space="preserve">between the final </w:t>
      </w:r>
      <w:r>
        <w:t>regulatory year</w:t>
      </w:r>
      <w:r>
        <w:t xml:space="preserve"> of the </w:t>
      </w:r>
      <w:r>
        <w:t>current regulatory control period</w:t>
      </w:r>
      <w:r>
        <w:t xml:space="preserve"> and the first </w:t>
      </w:r>
      <w:r>
        <w:t>regulatory year</w:t>
      </w:r>
      <w:r>
        <w:t xml:space="preserve"> of the </w:t>
      </w:r>
      <w:r>
        <w:t>subsequent regulatory control period</w:t>
      </w:r>
      <w:r>
        <w:t>,</w:t>
      </w:r>
    </w:p>
    <w:p>
      <w:pPr>
        <w:pStyle w:val="NER-RC-Text-In-2"/>
      </w:pPr>
      <w:r>
        <w:t xml:space="preserve">for the relevant </w:t>
      </w:r>
      <w:r>
        <w:t>NSW DNSP</w:t>
      </w:r>
      <w:r>
        <w:t>; and</w:t>
      </w:r>
    </w:p>
    <w:p>
      <w:pPr>
        <w:pStyle w:val="NER-RC-List-2-MNum"/>
      </w:pPr>
      <w:r>
        <w:t>(4)</w:t>
        <w:tab/>
      </w:r>
      <w:r>
        <w:t xml:space="preserve">achieve the </w:t>
      </w:r>
      <w:r>
        <w:t>revenue recovery principle</w:t>
      </w:r>
      <w:r>
        <w:t xml:space="preserve"> in respect of the relevant </w:t>
      </w:r>
      <w:r>
        <w:t>NSW DNSP</w:t>
      </w:r>
      <w:r>
        <w:t>.</w:t>
      </w:r>
    </w:p>
    <w:p>
      <w:pPr>
        <w:pStyle w:val="NER-Explain-Title-UNum-In-1"/>
      </w:pPr>
      <w:r>
        <w:t>Note:</w:t>
      </w:r>
    </w:p>
    <w:p>
      <w:pPr>
        <w:pStyle w:val="NER-Explain-Para-In-1"/>
      </w:pPr>
      <w:r>
        <w:t xml:space="preserve">When determining the </w:t>
      </w:r>
      <w:r>
        <w:t>adjustment amount</w:t>
      </w:r>
      <w:r>
        <w:t xml:space="preserve"> and </w:t>
      </w:r>
      <w:r>
        <w:t>subsequent adjustment amount</w:t>
      </w:r>
      <w:r>
        <w:t xml:space="preserve">, the </w:t>
      </w:r>
      <w:r>
        <w:rPr>
          <w:i/>
        </w:rPr>
        <w:t>AER</w:t>
      </w:r>
      <w:r>
        <w:t xml:space="preserve"> must also take into account the </w:t>
      </w:r>
      <w:r>
        <w:rPr>
          <w:i/>
        </w:rPr>
        <w:t>national electricity objective</w:t>
      </w:r>
      <w:r>
        <w:t xml:space="preserve"> and may take into account the revenue and pricing principles: see </w:t>
      </w:r>
      <w:r>
        <w:rPr>
          <w:i/>
        </w:rPr>
        <w:t>NEL</w:t>
      </w:r>
      <w:r>
        <w:t>, s.16(1)(a) and (2)(b).</w:t>
      </w:r>
    </w:p>
    <w:p>
      <w:pPr>
        <w:pStyle w:val="NER-RC-List-1-MNum"/>
      </w:pPr>
      <w:r>
        <w:t>(c)</w:t>
        <w:tab/>
      </w:r>
      <w:r>
        <w:t xml:space="preserve">Paragraphs (d) and (e) do not apply in respect of a </w:t>
      </w:r>
      <w:r>
        <w:t>NSW DNSP</w:t>
      </w:r>
      <w:r>
        <w:t xml:space="preserve"> if the </w:t>
      </w:r>
      <w:r>
        <w:rPr>
          <w:i/>
        </w:rPr>
        <w:t>AER</w:t>
      </w:r>
      <w:r>
        <w:t xml:space="preserve"> has not determined an </w:t>
      </w:r>
      <w:r>
        <w:t>adjustment amount</w:t>
      </w:r>
      <w:r>
        <w:t xml:space="preserve"> and </w:t>
      </w:r>
      <w:r>
        <w:t>subsequent adjustment amount</w:t>
      </w:r>
      <w:r>
        <w:t xml:space="preserve"> under paragraph (b) for that </w:t>
      </w:r>
      <w:r>
        <w:t>NSW DNSP</w:t>
      </w:r>
      <w:r>
        <w:t>.</w:t>
      </w:r>
    </w:p>
    <w:p>
      <w:pPr>
        <w:pStyle w:val="NER-Item-group-Title"/>
      </w:pPr>
      <w:r>
        <w:t>Recovery in current regulatory control period</w:t>
      </w:r>
    </w:p>
    <w:p>
      <w:pPr>
        <w:pStyle w:val="NER-RC-List-1-MNum"/>
      </w:pPr>
      <w:r>
        <w:t>(d)</w:t>
        <w:tab/>
      </w:r>
      <w:r>
        <w:t xml:space="preserve">A </w:t>
      </w:r>
      <w:r>
        <w:rPr>
          <w:i/>
        </w:rPr>
        <w:t>pricing proposal</w:t>
      </w:r>
      <w:r>
        <w:t xml:space="preserve"> submitted by a </w:t>
      </w:r>
      <w:r>
        <w:t>NSW DNSP</w:t>
      </w:r>
      <w:r>
        <w:t xml:space="preserve">, and approved by the </w:t>
      </w:r>
      <w:r>
        <w:rPr>
          <w:i/>
        </w:rPr>
        <w:t>AER</w:t>
      </w:r>
      <w:r>
        <w:t xml:space="preserve">, for the final </w:t>
      </w:r>
      <w:r>
        <w:t>regulatory year</w:t>
      </w:r>
      <w:r>
        <w:t xml:space="preserve"> of the </w:t>
      </w:r>
      <w:r>
        <w:t>current regulatory control period</w:t>
      </w:r>
      <w:r>
        <w:t xml:space="preserve"> must, in respect of revenue for </w:t>
      </w:r>
      <w:r>
        <w:t>distribution standard control services</w:t>
      </w:r>
      <w:r>
        <w:t>, only provide for the recovery of:</w:t>
      </w:r>
    </w:p>
    <w:p>
      <w:pPr>
        <w:pStyle w:val="NER-RC-List-2-MNum"/>
      </w:pPr>
      <w:r>
        <w:t>(1)</w:t>
        <w:tab/>
      </w:r>
      <w:r>
        <w:t xml:space="preserve">where the applicable </w:t>
      </w:r>
      <w:r>
        <w:t>adjustment amount</w:t>
      </w:r>
      <w:r>
        <w:t xml:space="preserve"> operates as if it were a revenue increase:</w:t>
      </w:r>
    </w:p>
    <w:p>
      <w:pPr>
        <w:pStyle w:val="NER-RC-List-3-MNum"/>
      </w:pPr>
      <w:r>
        <w:t>(i)</w:t>
        <w:tab/>
      </w:r>
      <w:r>
        <w:t xml:space="preserve">the </w:t>
      </w:r>
      <w:r>
        <w:t>NSW DNSP</w:t>
      </w:r>
      <w:r>
        <w:t xml:space="preserve">'s </w:t>
      </w:r>
      <w:r>
        <w:t>total annual revenue</w:t>
      </w:r>
      <w:r>
        <w:t xml:space="preserve"> for </w:t>
      </w:r>
      <w:r>
        <w:t>distribution standard control services</w:t>
      </w:r>
      <w:r>
        <w:t xml:space="preserve"> in accordance with the formulae that give effect to the applicable control mechanism, and the applicable </w:t>
      </w:r>
      <w:r>
        <w:rPr>
          <w:i/>
        </w:rPr>
        <w:t>annual revenue requirement</w:t>
      </w:r>
      <w:r>
        <w:t xml:space="preserve">, under the </w:t>
      </w:r>
      <w:r>
        <w:t>remade 2015 determination</w:t>
      </w:r>
      <w:r>
        <w:t>; plus</w:t>
      </w:r>
    </w:p>
    <w:p>
      <w:pPr>
        <w:pStyle w:val="NER-RC-List-3-MNum"/>
      </w:pPr>
      <w:r>
        <w:t>(ii)</w:t>
        <w:tab/>
      </w:r>
      <w:r>
        <w:t xml:space="preserve">the </w:t>
      </w:r>
      <w:r>
        <w:t>adjustment amount</w:t>
      </w:r>
      <w:r>
        <w:t xml:space="preserve">, incorporating any adjustments that the </w:t>
      </w:r>
      <w:r>
        <w:rPr>
          <w:i/>
        </w:rPr>
        <w:t>AER</w:t>
      </w:r>
      <w:r>
        <w:t xml:space="preserve"> considers necessary to achieve the </w:t>
      </w:r>
      <w:r>
        <w:t>revenue recovery principle</w:t>
      </w:r>
      <w:r>
        <w:t xml:space="preserve"> in accordance with subparagraph (b)(4); or</w:t>
      </w:r>
    </w:p>
    <w:p>
      <w:pPr>
        <w:pStyle w:val="NER-RC-List-2-MNum"/>
      </w:pPr>
      <w:r>
        <w:t>(2)</w:t>
        <w:tab/>
      </w:r>
      <w:r>
        <w:t xml:space="preserve">where the applicable </w:t>
      </w:r>
      <w:r>
        <w:t>adjustment amount</w:t>
      </w:r>
      <w:r>
        <w:t xml:space="preserve"> operates as if it were a revenue decrease:</w:t>
      </w:r>
    </w:p>
    <w:p>
      <w:pPr>
        <w:pStyle w:val="NER-RC-List-3-MNum"/>
      </w:pPr>
      <w:r>
        <w:t>(i)</w:t>
        <w:tab/>
      </w:r>
      <w:r>
        <w:t xml:space="preserve">the </w:t>
      </w:r>
      <w:r>
        <w:t>NSW DNSP</w:t>
      </w:r>
      <w:r>
        <w:t xml:space="preserve">'s </w:t>
      </w:r>
      <w:r>
        <w:t>total annual revenue</w:t>
      </w:r>
      <w:r>
        <w:t xml:space="preserve"> for </w:t>
      </w:r>
      <w:r>
        <w:t>distribution standard control services</w:t>
      </w:r>
      <w:r>
        <w:t xml:space="preserve"> in accordance with the formulae that give effect to the applicable control mechanism, and the applicable </w:t>
      </w:r>
      <w:r>
        <w:rPr>
          <w:i/>
        </w:rPr>
        <w:t>annual revenue requirement</w:t>
      </w:r>
      <w:r>
        <w:t xml:space="preserve">, under the </w:t>
      </w:r>
      <w:r>
        <w:t>remade 2015 determination</w:t>
      </w:r>
      <w:r>
        <w:t>; minus</w:t>
      </w:r>
    </w:p>
    <w:p>
      <w:pPr>
        <w:pStyle w:val="NER-RC-List-3-MNum"/>
      </w:pPr>
      <w:r>
        <w:t>(ii)</w:t>
        <w:tab/>
      </w:r>
      <w:r>
        <w:t xml:space="preserve">the </w:t>
      </w:r>
      <w:r>
        <w:t>adjustment amount</w:t>
      </w:r>
      <w:r>
        <w:t xml:space="preserve">, incorporating any adjustments that the </w:t>
      </w:r>
      <w:r>
        <w:rPr>
          <w:i/>
        </w:rPr>
        <w:t>AER</w:t>
      </w:r>
      <w:r>
        <w:t xml:space="preserve"> considers necessary to achieve the </w:t>
      </w:r>
      <w:r>
        <w:t>revenue recovery principle</w:t>
      </w:r>
      <w:r>
        <w:t xml:space="preserve"> in accordance with subparagraph (b)(4),</w:t>
      </w:r>
    </w:p>
    <w:p>
      <w:pPr>
        <w:pStyle w:val="NER-RC-Text-In-1"/>
      </w:pPr>
      <w:r>
        <w:t xml:space="preserve">(such amount being the </w:t>
      </w:r>
      <w:r>
        <w:rPr>
          <w:b/>
        </w:rPr>
        <w:t>substituted total annual revenue amount</w:t>
      </w:r>
      <w:r>
        <w:t>).</w:t>
      </w:r>
    </w:p>
    <w:p>
      <w:pPr>
        <w:pStyle w:val="NER-Item-group-Title"/>
      </w:pPr>
      <w:r>
        <w:t>Recovery in subsequent regulatory control period</w:t>
      </w:r>
    </w:p>
    <w:p>
      <w:pPr>
        <w:pStyle w:val="NER-RC-List-1-MNum"/>
      </w:pPr>
      <w:r>
        <w:t>(e)</w:t>
        <w:tab/>
      </w:r>
      <w:r>
        <w:t xml:space="preserve">The </w:t>
      </w:r>
      <w:r>
        <w:rPr>
          <w:i/>
        </w:rPr>
        <w:t>AER</w:t>
      </w:r>
      <w:r>
        <w:t xml:space="preserve"> must include the </w:t>
      </w:r>
      <w:r>
        <w:t>subsequent adjustment amount</w:t>
      </w:r>
      <w:r>
        <w:t xml:space="preserve"> determined for a </w:t>
      </w:r>
      <w:r>
        <w:t>NSW DNSP</w:t>
      </w:r>
      <w:r>
        <w:t xml:space="preserve"> under paragraph (b) as:</w:t>
      </w:r>
    </w:p>
    <w:p>
      <w:pPr>
        <w:pStyle w:val="NER-RC-List-2-MNum"/>
      </w:pPr>
      <w:r>
        <w:t>(1)</w:t>
        <w:tab/>
      </w:r>
      <w:r>
        <w:t>if subparagraph (d)(1) applies, a revenue decrease; or</w:t>
      </w:r>
    </w:p>
    <w:p>
      <w:pPr>
        <w:pStyle w:val="NER-RC-List-2-MNum"/>
      </w:pPr>
      <w:r>
        <w:t>(2)</w:t>
        <w:tab/>
      </w:r>
      <w:r>
        <w:t>if subparagraph (d)(2) applies, a revenue increase,</w:t>
      </w:r>
    </w:p>
    <w:p>
      <w:pPr>
        <w:pStyle w:val="NER-RC-Text-In-1"/>
      </w:pPr>
      <w:r>
        <w:t xml:space="preserve">to the </w:t>
      </w:r>
      <w:r>
        <w:rPr>
          <w:i/>
        </w:rPr>
        <w:t>annual revenue requirement</w:t>
      </w:r>
      <w:r>
        <w:t xml:space="preserve"> determined under </w:t>
      </w:r>
      <w:r>
        <w:t>rule 6.4</w:t>
      </w:r>
      <w:r>
        <w:t xml:space="preserve"> for the first </w:t>
      </w:r>
      <w:r>
        <w:t>regulatory year</w:t>
      </w:r>
      <w:r>
        <w:t xml:space="preserve"> of that </w:t>
      </w:r>
      <w:r>
        <w:t>NSW DNSP</w:t>
      </w:r>
      <w:r>
        <w:t xml:space="preserve">'s </w:t>
      </w:r>
      <w:r>
        <w:t>subsequent regulatory control period</w:t>
      </w:r>
      <w:r>
        <w:t>.</w:t>
      </w:r>
    </w:p>
    <w:p>
      <w:pPr>
        <w:pStyle w:val="NER-RC-List-1-MNum"/>
      </w:pPr>
      <w:r>
        <w:t>(f)</w:t>
        <w:tab/>
      </w:r>
      <w:r>
        <w:t xml:space="preserve">Any </w:t>
      </w:r>
      <w:r>
        <w:t>subsequent adjustment amount</w:t>
      </w:r>
      <w:r>
        <w:t xml:space="preserve"> included as a revenue increase or revenue decrease under paragraph (e) must not be considered by the </w:t>
      </w:r>
      <w:r>
        <w:rPr>
          <w:i/>
        </w:rPr>
        <w:t>AER</w:t>
      </w:r>
      <w:r>
        <w:t xml:space="preserve"> when determining whether any amount is payable or recoverable by the relevant </w:t>
      </w:r>
      <w:r>
        <w:t>NSW DNSP</w:t>
      </w:r>
      <w:r>
        <w:t xml:space="preserve"> under any </w:t>
      </w:r>
      <w:r>
        <w:t>scheme</w:t>
      </w:r>
      <w:r>
        <w:t xml:space="preserve"> that applies to that </w:t>
      </w:r>
      <w:r>
        <w:t>NSW DNSP</w:t>
      </w:r>
      <w:r>
        <w:t xml:space="preserve"> in respect of the </w:t>
      </w:r>
      <w:r>
        <w:t>subsequent regulatory control period</w:t>
      </w:r>
      <w:r>
        <w:t>.</w:t>
      </w:r>
    </w:p>
    <w:p>
      <w:pPr>
        <w:pStyle w:val="NER-Cl-Title-Lvl-4"/>
      </w:pPr>
      <w:bookmarkStart w:id="26" w:name="_Toc256001036"/>
      <w:r>
        <w:t>8A.14.5</w:t>
        <w:tab/>
      </w:r>
      <w:r>
        <w:t>Recovery of revenue in subsequent regulatory control period only and no reopening of subsequent distribution determination required</w:t>
      </w:r>
      <w:bookmarkEnd w:id="26"/>
    </w:p>
    <w:p>
      <w:pPr>
        <w:pStyle w:val="NER-Item-group-Title"/>
      </w:pPr>
      <w:r>
        <w:t>General</w:t>
      </w:r>
    </w:p>
    <w:p>
      <w:pPr>
        <w:pStyle w:val="NER-RC-List-1-MNum"/>
      </w:pPr>
      <w:r>
        <w:t>(a)</w:t>
        <w:tab/>
      </w:r>
      <w:r>
        <w:t xml:space="preserve">This clause 8A.14.5 applies in respect of a </w:t>
      </w:r>
      <w:r>
        <w:t>NSW DNSP</w:t>
      </w:r>
      <w:r>
        <w:t xml:space="preserve"> if a </w:t>
      </w:r>
      <w:r>
        <w:t>remade 2015 determination</w:t>
      </w:r>
      <w:r>
        <w:t xml:space="preserve"> is made by the </w:t>
      </w:r>
      <w:r>
        <w:rPr>
          <w:i/>
        </w:rPr>
        <w:t>AER</w:t>
      </w:r>
      <w:r>
        <w:t xml:space="preserve"> in respect of that </w:t>
      </w:r>
      <w:r>
        <w:t>NSW DNSP</w:t>
      </w:r>
      <w:r>
        <w:t xml:space="preserve"> on or after 1 March 2018, but prior to 1 May 2019.</w:t>
      </w:r>
    </w:p>
    <w:p>
      <w:pPr>
        <w:pStyle w:val="NER-Item-group-Title"/>
      </w:pPr>
      <w:r>
        <w:t>Adjustment determination</w:t>
      </w:r>
    </w:p>
    <w:p>
      <w:pPr>
        <w:pStyle w:val="NER-RC-List-1-MNum"/>
      </w:pPr>
      <w:r>
        <w:t>(b)</w:t>
        <w:tab/>
      </w:r>
      <w:r>
        <w:t xml:space="preserve">If paragraph (a) applies, the </w:t>
      </w:r>
      <w:r>
        <w:rPr>
          <w:i/>
        </w:rPr>
        <w:t>AER</w:t>
      </w:r>
      <w:r>
        <w:t xml:space="preserve"> must determine at the time of making the </w:t>
      </w:r>
      <w:r>
        <w:t>remade 2015 determination</w:t>
      </w:r>
      <w:r>
        <w:t>:</w:t>
      </w:r>
    </w:p>
    <w:p>
      <w:pPr>
        <w:pStyle w:val="NER-RC-List-2-MNum"/>
      </w:pPr>
      <w:r>
        <w:t>(1)</w:t>
        <w:tab/>
      </w:r>
      <w:r>
        <w:t xml:space="preserve">the </w:t>
      </w:r>
      <w:r>
        <w:t>distribution variation amount</w:t>
      </w:r>
      <w:r>
        <w:t>; and</w:t>
      </w:r>
    </w:p>
    <w:p>
      <w:pPr>
        <w:pStyle w:val="NER-RC-List-2-MNum"/>
      </w:pPr>
      <w:r>
        <w:t>(2)</w:t>
        <w:tab/>
      </w:r>
      <w:r>
        <w:t xml:space="preserve">the </w:t>
      </w:r>
      <w:r>
        <w:t>transmission variation amount</w:t>
      </w:r>
      <w:r>
        <w:t>,</w:t>
      </w:r>
    </w:p>
    <w:p>
      <w:pPr>
        <w:pStyle w:val="NER-RC-Text-In-1"/>
      </w:pPr>
      <w:r>
        <w:t xml:space="preserve">for the relevant </w:t>
      </w:r>
      <w:r>
        <w:t>NSW DNSP</w:t>
      </w:r>
      <w:r>
        <w:t>.</w:t>
      </w:r>
    </w:p>
    <w:p>
      <w:pPr>
        <w:pStyle w:val="NER-Item-group-Title"/>
      </w:pPr>
      <w:r>
        <w:t>Recovery in subsequent regulatory control period</w:t>
      </w:r>
    </w:p>
    <w:p>
      <w:pPr>
        <w:pStyle w:val="NER-RC-List-1-MNum"/>
      </w:pPr>
      <w:r>
        <w:t>(c)</w:t>
        <w:tab/>
      </w:r>
      <w:r>
        <w:t xml:space="preserve">The </w:t>
      </w:r>
      <w:r>
        <w:rPr>
          <w:i/>
        </w:rPr>
        <w:t>AER</w:t>
      </w:r>
      <w:r>
        <w:t xml:space="preserve"> must include an amount equivalent in net present value terms to:</w:t>
      </w:r>
    </w:p>
    <w:p>
      <w:pPr>
        <w:pStyle w:val="NER-RC-List-2-MNum"/>
      </w:pPr>
      <w:r>
        <w:t>(1)</w:t>
        <w:tab/>
      </w:r>
      <w:r>
        <w:t xml:space="preserve">the </w:t>
      </w:r>
      <w:r>
        <w:t>distribution variation amount</w:t>
      </w:r>
      <w:r>
        <w:t>; and</w:t>
      </w:r>
    </w:p>
    <w:p>
      <w:pPr>
        <w:pStyle w:val="NER-RC-List-2-MNum"/>
      </w:pPr>
      <w:r>
        <w:t>(2)</w:t>
        <w:tab/>
      </w:r>
      <w:r>
        <w:t xml:space="preserve">the </w:t>
      </w:r>
      <w:r>
        <w:t>transmission variation amount</w:t>
      </w:r>
      <w:r>
        <w:t>,</w:t>
      </w:r>
    </w:p>
    <w:p>
      <w:pPr>
        <w:pStyle w:val="NER-RC-Text-In-1"/>
      </w:pPr>
      <w:r>
        <w:t xml:space="preserve">determined for a </w:t>
      </w:r>
      <w:r>
        <w:t>NSW DNSP</w:t>
      </w:r>
      <w:r>
        <w:t xml:space="preserve"> under paragraph (b) as:</w:t>
      </w:r>
    </w:p>
    <w:p>
      <w:pPr>
        <w:pStyle w:val="NER-RC-List-2-MNum"/>
      </w:pPr>
      <w:r>
        <w:t>(3)</w:t>
        <w:tab/>
      </w:r>
      <w:r>
        <w:t xml:space="preserve">if the applicable </w:t>
      </w:r>
      <w:r>
        <w:t>distribution variation amount</w:t>
      </w:r>
      <w:r>
        <w:t xml:space="preserve"> or </w:t>
      </w:r>
      <w:r>
        <w:t>transmission variation amount</w:t>
      </w:r>
      <w:r>
        <w:t xml:space="preserve"> (as the case may be) is a positive amount, a revenue increase; or</w:t>
      </w:r>
    </w:p>
    <w:p>
      <w:pPr>
        <w:pStyle w:val="NER-RC-List-2-MNum"/>
      </w:pPr>
      <w:r>
        <w:t>(4)</w:t>
        <w:tab/>
      </w:r>
      <w:r>
        <w:t xml:space="preserve">if the applicable </w:t>
      </w:r>
      <w:r>
        <w:t>distribution variation amount</w:t>
      </w:r>
      <w:r>
        <w:t xml:space="preserve"> or </w:t>
      </w:r>
      <w:r>
        <w:t>transmission variation amount</w:t>
      </w:r>
      <w:r>
        <w:t xml:space="preserve"> (as the case may be) is a negative amount, a revenue decrease; or</w:t>
      </w:r>
    </w:p>
    <w:p>
      <w:pPr>
        <w:pStyle w:val="NER-RC-List-2-MNum"/>
      </w:pPr>
      <w:r>
        <w:t>(5)</w:t>
        <w:tab/>
      </w:r>
      <w:r>
        <w:t xml:space="preserve">if the applicable </w:t>
      </w:r>
      <w:r>
        <w:t>distribution variation amount</w:t>
      </w:r>
      <w:r>
        <w:t xml:space="preserve"> or </w:t>
      </w:r>
      <w:r>
        <w:t>transmission variation amount</w:t>
      </w:r>
      <w:r>
        <w:t xml:space="preserve"> is zero, no adjustment,</w:t>
      </w:r>
    </w:p>
    <w:p>
      <w:pPr>
        <w:pStyle w:val="NER-RC-Text-In-1"/>
      </w:pPr>
      <w:r>
        <w:t>to the</w:t>
      </w:r>
      <w:r>
        <w:rPr>
          <w:i/>
        </w:rPr>
        <w:t xml:space="preserve"> annual revenue requirement </w:t>
      </w:r>
      <w:r>
        <w:t xml:space="preserve">determined under </w:t>
      </w:r>
      <w:r>
        <w:t>rule 6.4</w:t>
      </w:r>
      <w:r>
        <w:t xml:space="preserve"> for the first </w:t>
      </w:r>
      <w:r>
        <w:t>regulatory year</w:t>
      </w:r>
      <w:r>
        <w:t xml:space="preserve"> of that </w:t>
      </w:r>
      <w:r>
        <w:t>NSW DNSP</w:t>
      </w:r>
      <w:r>
        <w:t xml:space="preserve">'s </w:t>
      </w:r>
      <w:r>
        <w:t>subsequent regulatory control period</w:t>
      </w:r>
      <w:r>
        <w:t>.</w:t>
      </w:r>
    </w:p>
    <w:p>
      <w:pPr>
        <w:pStyle w:val="NER-RC-List-1-MNum"/>
      </w:pPr>
      <w:r>
        <w:t>(d)</w:t>
        <w:tab/>
      </w:r>
      <w:r>
        <w:t xml:space="preserve">When making an </w:t>
      </w:r>
      <w:r>
        <w:t>adjustment determination</w:t>
      </w:r>
      <w:r>
        <w:t xml:space="preserve"> under this clause 8A.14.5 in respect of a </w:t>
      </w:r>
      <w:r>
        <w:t>NSW DNSP</w:t>
      </w:r>
      <w:r>
        <w:t xml:space="preserve">, the </w:t>
      </w:r>
      <w:r>
        <w:rPr>
          <w:i/>
        </w:rPr>
        <w:t>AER</w:t>
      </w:r>
      <w:r>
        <w:t xml:space="preserve"> must be satisfied that the application of the </w:t>
      </w:r>
      <w:r>
        <w:t>distribution variation amount</w:t>
      </w:r>
      <w:r>
        <w:t xml:space="preserve"> and </w:t>
      </w:r>
      <w:r>
        <w:t>transmission variation amount</w:t>
      </w:r>
      <w:r>
        <w:t xml:space="preserve"> under paragraph (c) achieves the </w:t>
      </w:r>
      <w:r>
        <w:t>revenue recovery principle</w:t>
      </w:r>
      <w:r>
        <w:t xml:space="preserve"> in respect of that </w:t>
      </w:r>
      <w:r>
        <w:t>NSW DNSP</w:t>
      </w:r>
      <w:r>
        <w:t>.</w:t>
      </w:r>
    </w:p>
    <w:p>
      <w:pPr>
        <w:pStyle w:val="NER-RC-List-1-MNum"/>
      </w:pPr>
      <w:r>
        <w:t>(e)</w:t>
        <w:tab/>
      </w:r>
      <w:r>
        <w:t xml:space="preserve">A </w:t>
      </w:r>
      <w:r>
        <w:t>distribution variation amount</w:t>
      </w:r>
      <w:r>
        <w:t xml:space="preserve"> or </w:t>
      </w:r>
      <w:r>
        <w:t>transmission variation amount</w:t>
      </w:r>
      <w:r>
        <w:t xml:space="preserve"> included as a revenue increase or revenue decrease under paragraph (c), must not be considered by the </w:t>
      </w:r>
      <w:r>
        <w:rPr>
          <w:i/>
        </w:rPr>
        <w:t>AER</w:t>
      </w:r>
      <w:r>
        <w:t xml:space="preserve"> when determining whether any amount is payable or recoverable by the relevant </w:t>
      </w:r>
      <w:r>
        <w:t>NSW DNSP</w:t>
      </w:r>
      <w:r>
        <w:t xml:space="preserve"> under any </w:t>
      </w:r>
      <w:r>
        <w:t>scheme</w:t>
      </w:r>
      <w:r>
        <w:t xml:space="preserve"> that applies to that </w:t>
      </w:r>
      <w:r>
        <w:t>NSW DNSP</w:t>
      </w:r>
      <w:r>
        <w:t xml:space="preserve"> in respect of the </w:t>
      </w:r>
      <w:r>
        <w:t>subsequent regulatory control period</w:t>
      </w:r>
      <w:r>
        <w:t>.</w:t>
      </w:r>
    </w:p>
    <w:p>
      <w:pPr>
        <w:pStyle w:val="NER-Cl-Title-Lvl-4"/>
      </w:pPr>
      <w:bookmarkStart w:id="27" w:name="_Toc256001037"/>
      <w:r>
        <w:t>8A.14.6</w:t>
        <w:tab/>
      </w:r>
      <w:r>
        <w:t>Recovery of revenue in subsequent regulatory control period only and reopening of distribution determination is required</w:t>
      </w:r>
      <w:bookmarkEnd w:id="27"/>
    </w:p>
    <w:p>
      <w:pPr>
        <w:pStyle w:val="NER-Item-group-Title"/>
      </w:pPr>
      <w:r>
        <w:t>General</w:t>
      </w:r>
    </w:p>
    <w:p>
      <w:pPr>
        <w:pStyle w:val="NER-RC-List-1-MNum"/>
      </w:pPr>
      <w:r>
        <w:t>(a)</w:t>
        <w:tab/>
      </w:r>
      <w:r>
        <w:t xml:space="preserve">This clause 8A.14.6 applies in respect of a </w:t>
      </w:r>
      <w:r>
        <w:t>NSW DNSP</w:t>
      </w:r>
      <w:r>
        <w:t xml:space="preserve"> if a </w:t>
      </w:r>
      <w:r>
        <w:t>remade 2015 determination</w:t>
      </w:r>
      <w:r>
        <w:t xml:space="preserve"> is made by the </w:t>
      </w:r>
      <w:r>
        <w:rPr>
          <w:i/>
        </w:rPr>
        <w:t>AER</w:t>
      </w:r>
      <w:r>
        <w:t xml:space="preserve"> in respect of that </w:t>
      </w:r>
      <w:r>
        <w:t>NSW DNSP</w:t>
      </w:r>
      <w:r>
        <w:t xml:space="preserve"> on or after 1 May 2019, but prior to 1 December of the fourth last </w:t>
      </w:r>
      <w:r>
        <w:t>regulatory year</w:t>
      </w:r>
      <w:r>
        <w:t xml:space="preserve"> of the </w:t>
      </w:r>
      <w:r>
        <w:t>subsequent regulatory control period</w:t>
      </w:r>
      <w:r>
        <w:t>.</w:t>
      </w:r>
    </w:p>
    <w:p>
      <w:pPr>
        <w:pStyle w:val="NER-Item-group-Title"/>
      </w:pPr>
      <w:r>
        <w:t>Adjustment determination</w:t>
      </w:r>
    </w:p>
    <w:p>
      <w:pPr>
        <w:pStyle w:val="NER-RC-List-1-MNum"/>
      </w:pPr>
      <w:r>
        <w:t>(b)</w:t>
        <w:tab/>
      </w:r>
      <w:r>
        <w:t xml:space="preserve">If paragraph (a) applies, the </w:t>
      </w:r>
      <w:r>
        <w:rPr>
          <w:i/>
        </w:rPr>
        <w:t xml:space="preserve">AER </w:t>
      </w:r>
      <w:r>
        <w:t xml:space="preserve">must determine at the time of making the </w:t>
      </w:r>
      <w:r>
        <w:t>remade 2015 determination</w:t>
      </w:r>
      <w:r>
        <w:t>:</w:t>
      </w:r>
    </w:p>
    <w:p>
      <w:pPr>
        <w:pStyle w:val="NER-RC-List-2-MNum"/>
      </w:pPr>
      <w:r>
        <w:t>(1)</w:t>
        <w:tab/>
      </w:r>
      <w:r>
        <w:t xml:space="preserve">the </w:t>
      </w:r>
      <w:r>
        <w:t>distribution variation amount</w:t>
      </w:r>
      <w:r>
        <w:t>; and</w:t>
      </w:r>
    </w:p>
    <w:p>
      <w:pPr>
        <w:pStyle w:val="NER-RC-List-2-MNum"/>
      </w:pPr>
      <w:r>
        <w:t>(2)</w:t>
        <w:tab/>
      </w:r>
      <w:r>
        <w:t xml:space="preserve">the </w:t>
      </w:r>
      <w:r>
        <w:t>transmission variation amount</w:t>
      </w:r>
      <w:r>
        <w:t>,</w:t>
      </w:r>
    </w:p>
    <w:p>
      <w:pPr>
        <w:pStyle w:val="NER-RC-Text-In-1"/>
      </w:pPr>
      <w:r>
        <w:t xml:space="preserve">for the relevant </w:t>
      </w:r>
      <w:r>
        <w:t>NSW DNSP</w:t>
      </w:r>
      <w:r>
        <w:t>.</w:t>
      </w:r>
    </w:p>
    <w:p>
      <w:pPr>
        <w:pStyle w:val="NER-Item-group-Title"/>
      </w:pPr>
      <w:r>
        <w:t>Recovery in subsequent regulatory control period</w:t>
      </w:r>
    </w:p>
    <w:p>
      <w:pPr>
        <w:pStyle w:val="NER-RC-List-1-MNum"/>
      </w:pPr>
      <w:r>
        <w:t>(c)</w:t>
        <w:tab/>
      </w:r>
      <w:r>
        <w:t xml:space="preserve">If paragraph (a) applies in respect of a </w:t>
      </w:r>
      <w:r>
        <w:t>NSW DNSP</w:t>
      </w:r>
      <w:r>
        <w:t xml:space="preserve">, the </w:t>
      </w:r>
      <w:r>
        <w:rPr>
          <w:i/>
        </w:rPr>
        <w:t>AER</w:t>
      </w:r>
      <w:r>
        <w:t xml:space="preserve"> must revoke the </w:t>
      </w:r>
      <w:r>
        <w:t>subsequent distribution determination</w:t>
      </w:r>
      <w:r>
        <w:t xml:space="preserve"> of that </w:t>
      </w:r>
      <w:r>
        <w:t>NSW DNSP</w:t>
      </w:r>
      <w:r>
        <w:t xml:space="preserve"> and make a new distribution determination in substitution for that revoked determination, that:</w:t>
      </w:r>
    </w:p>
    <w:p>
      <w:pPr>
        <w:pStyle w:val="NER-RC-List-2-MNum"/>
      </w:pPr>
      <w:r>
        <w:t>(1)</w:t>
        <w:tab/>
      </w:r>
      <w:r>
        <w:t xml:space="preserve">applies to the remaining regulatory years of the </w:t>
      </w:r>
      <w:r>
        <w:t>subsequent regulatory control period</w:t>
      </w:r>
      <w:r>
        <w:t>; and</w:t>
      </w:r>
    </w:p>
    <w:p>
      <w:pPr>
        <w:pStyle w:val="NER-RC-List-2-MNum"/>
      </w:pPr>
      <w:r>
        <w:t>(2)</w:t>
        <w:tab/>
      </w:r>
      <w:r>
        <w:t>includes an amount equivalent in net present value terms to:</w:t>
      </w:r>
    </w:p>
    <w:p>
      <w:pPr>
        <w:pStyle w:val="NER-RC-List-3-MNum"/>
      </w:pPr>
      <w:r>
        <w:t>(i)</w:t>
        <w:tab/>
      </w:r>
      <w:r>
        <w:t xml:space="preserve">the </w:t>
      </w:r>
      <w:r>
        <w:t>distribution variation amount</w:t>
      </w:r>
      <w:r>
        <w:t>; and</w:t>
      </w:r>
    </w:p>
    <w:p>
      <w:pPr>
        <w:pStyle w:val="NER-RC-List-3-MNum"/>
      </w:pPr>
      <w:r>
        <w:t>(ii)</w:t>
        <w:tab/>
      </w:r>
      <w:r>
        <w:t xml:space="preserve">the </w:t>
      </w:r>
      <w:r>
        <w:t>transmission variation amount</w:t>
      </w:r>
      <w:r>
        <w:t>,</w:t>
      </w:r>
    </w:p>
    <w:p>
      <w:pPr>
        <w:pStyle w:val="NER-RC-Text-In-2"/>
      </w:pPr>
      <w:r>
        <w:t xml:space="preserve">determined for that </w:t>
      </w:r>
      <w:r>
        <w:t>NSW DNSP</w:t>
      </w:r>
      <w:r>
        <w:t xml:space="preserve"> as:</w:t>
      </w:r>
    </w:p>
    <w:p>
      <w:pPr>
        <w:pStyle w:val="NER-RC-List-3-MNum"/>
      </w:pPr>
      <w:r>
        <w:t>(iii)</w:t>
        <w:tab/>
      </w:r>
      <w:r>
        <w:t xml:space="preserve">if the applicable </w:t>
      </w:r>
      <w:r>
        <w:t>distribution variation amount</w:t>
      </w:r>
      <w:r>
        <w:t xml:space="preserve"> or </w:t>
      </w:r>
      <w:r>
        <w:t>transmission variation amount</w:t>
      </w:r>
      <w:r>
        <w:t xml:space="preserve"> (as the case may be) is a positive amount, a revenue increase; or</w:t>
      </w:r>
    </w:p>
    <w:p>
      <w:pPr>
        <w:pStyle w:val="NER-RC-List-3-MNum"/>
      </w:pPr>
      <w:r>
        <w:t>(iv)</w:t>
        <w:tab/>
      </w:r>
      <w:r>
        <w:t xml:space="preserve">if the applicable </w:t>
      </w:r>
      <w:r>
        <w:t>distribution variation amount</w:t>
      </w:r>
      <w:r>
        <w:t xml:space="preserve"> or </w:t>
      </w:r>
      <w:r>
        <w:t>transmission variation amount</w:t>
      </w:r>
      <w:r>
        <w:t xml:space="preserve"> (as the case may be) is a negative amount, a revenue decrease; or</w:t>
      </w:r>
    </w:p>
    <w:p>
      <w:pPr>
        <w:pStyle w:val="NER-RC-List-3-MNum"/>
      </w:pPr>
      <w:r>
        <w:t>(v)</w:t>
        <w:tab/>
      </w:r>
      <w:r>
        <w:t xml:space="preserve">if the applicable </w:t>
      </w:r>
      <w:r>
        <w:t>distribution variation amount</w:t>
      </w:r>
      <w:r>
        <w:t xml:space="preserve"> or </w:t>
      </w:r>
      <w:r>
        <w:t>transmission variation amount</w:t>
      </w:r>
      <w:r>
        <w:t xml:space="preserve"> (as the case may be) is zero, no adjustment,</w:t>
      </w:r>
    </w:p>
    <w:p>
      <w:pPr>
        <w:pStyle w:val="NER-RC-Text-In-2"/>
      </w:pPr>
      <w:r>
        <w:t xml:space="preserve">to the </w:t>
      </w:r>
      <w:r>
        <w:rPr>
          <w:i/>
        </w:rPr>
        <w:t>annual revenue requirement</w:t>
      </w:r>
      <w:r>
        <w:t xml:space="preserve"> of one or more of the regulatory years in the remainder of the </w:t>
      </w:r>
      <w:r>
        <w:t>subsequent regulatory control period</w:t>
      </w:r>
      <w:r>
        <w:t xml:space="preserve">, subject to the sum of all such increases or decreases for the relevant regulatory years being equivalent in net present value terms to the sum of the </w:t>
      </w:r>
      <w:r>
        <w:t>distribution variation amount</w:t>
      </w:r>
      <w:r>
        <w:t xml:space="preserve"> and </w:t>
      </w:r>
      <w:r>
        <w:t>transmission variation amount</w:t>
      </w:r>
      <w:r>
        <w:t>.</w:t>
      </w:r>
    </w:p>
    <w:p>
      <w:pPr>
        <w:pStyle w:val="NER-RC-List-1-MNum"/>
      </w:pPr>
      <w:r>
        <w:t>(d)</w:t>
        <w:tab/>
      </w:r>
      <w:r>
        <w:t xml:space="preserve">When making an </w:t>
      </w:r>
      <w:r>
        <w:t>adjustment determination</w:t>
      </w:r>
      <w:r>
        <w:t xml:space="preserve"> under this clause 8A.14.6 in respect of a </w:t>
      </w:r>
      <w:r>
        <w:t>NSW DNSP</w:t>
      </w:r>
      <w:r>
        <w:t xml:space="preserve">, the </w:t>
      </w:r>
      <w:r>
        <w:rPr>
          <w:i/>
        </w:rPr>
        <w:t>AER</w:t>
      </w:r>
      <w:r>
        <w:t xml:space="preserve"> must be satisfied that the application of the </w:t>
      </w:r>
      <w:r>
        <w:t>distribution variation amount</w:t>
      </w:r>
      <w:r>
        <w:t xml:space="preserve"> and </w:t>
      </w:r>
      <w:r>
        <w:t>transmission variation amount</w:t>
      </w:r>
      <w:r>
        <w:t xml:space="preserve"> under paragraph (c) achieves the </w:t>
      </w:r>
      <w:r>
        <w:t>revenue recovery principle</w:t>
      </w:r>
      <w:r>
        <w:t xml:space="preserve"> in respect of that </w:t>
      </w:r>
      <w:r>
        <w:t>NSW DNSP</w:t>
      </w:r>
      <w:r>
        <w:t>.</w:t>
      </w:r>
    </w:p>
    <w:p>
      <w:pPr>
        <w:pStyle w:val="NER-RC-List-1-MNum"/>
      </w:pPr>
      <w:r>
        <w:t>(e)</w:t>
        <w:tab/>
      </w:r>
      <w:r>
        <w:t>The substituted distribution determination made under paragraph (c) must only:</w:t>
      </w:r>
    </w:p>
    <w:p>
      <w:pPr>
        <w:pStyle w:val="NER-RC-List-2-MNum"/>
      </w:pPr>
      <w:r>
        <w:t>(1)</w:t>
        <w:tab/>
      </w:r>
      <w:r>
        <w:t xml:space="preserve">vary from the revoked distribution determination to the extent necessary to reflect the increase or decrease (as the case may be) to the </w:t>
      </w:r>
      <w:r>
        <w:rPr>
          <w:i/>
        </w:rPr>
        <w:t>annual revenue requirement</w:t>
      </w:r>
      <w:r>
        <w:t xml:space="preserve"> of one or more of the regulatory years of the </w:t>
      </w:r>
      <w:r>
        <w:t>subsequent regulatory control period</w:t>
      </w:r>
      <w:r>
        <w:t xml:space="preserve"> under paragraph (c); and</w:t>
      </w:r>
    </w:p>
    <w:p>
      <w:pPr>
        <w:pStyle w:val="NER-RC-List-2-MNum"/>
      </w:pPr>
      <w:r>
        <w:t>(2)</w:t>
        <w:tab/>
      </w:r>
      <w:r>
        <w:t xml:space="preserve">be made after the </w:t>
      </w:r>
      <w:r>
        <w:rPr>
          <w:i/>
        </w:rPr>
        <w:t>AER</w:t>
      </w:r>
      <w:r>
        <w:t xml:space="preserve"> has first consulted with the relevant </w:t>
      </w:r>
      <w:r>
        <w:t>NSW DNSP</w:t>
      </w:r>
      <w:r>
        <w:t xml:space="preserve"> and such other persons as the </w:t>
      </w:r>
      <w:r>
        <w:rPr>
          <w:i/>
        </w:rPr>
        <w:t>AER</w:t>
      </w:r>
      <w:r>
        <w:t xml:space="preserve"> considers appropriate.</w:t>
      </w:r>
    </w:p>
    <w:p>
      <w:pPr>
        <w:pStyle w:val="NER-RC-List-1-MNum"/>
      </w:pPr>
      <w:r>
        <w:t>(f)</w:t>
        <w:tab/>
      </w:r>
      <w:r>
        <w:t xml:space="preserve">If the </w:t>
      </w:r>
      <w:r>
        <w:rPr>
          <w:i/>
        </w:rPr>
        <w:t>AER</w:t>
      </w:r>
      <w:r>
        <w:t xml:space="preserve"> revokes and substitutes the </w:t>
      </w:r>
      <w:r>
        <w:t>subsequent distribution determination</w:t>
      </w:r>
      <w:r>
        <w:t xml:space="preserve"> under paragraph (c), that revocation and substitution must take effect from the commencement of the next </w:t>
      </w:r>
      <w:r>
        <w:t>regulatory year</w:t>
      </w:r>
      <w:r>
        <w:t>.</w:t>
      </w:r>
    </w:p>
    <w:p>
      <w:pPr>
        <w:pStyle w:val="NER-RC-List-1-MNum"/>
      </w:pPr>
      <w:r>
        <w:t>(g)</w:t>
        <w:tab/>
      </w:r>
      <w:r>
        <w:t xml:space="preserve">A </w:t>
      </w:r>
      <w:r>
        <w:t>distribution variation amount</w:t>
      </w:r>
      <w:r>
        <w:t xml:space="preserve"> or </w:t>
      </w:r>
      <w:r>
        <w:t>transmission variation amount</w:t>
      </w:r>
      <w:r>
        <w:t xml:space="preserve"> included as a revenue increase or revenue decrease under paragraph (c), must not be considered by the </w:t>
      </w:r>
      <w:r>
        <w:rPr>
          <w:i/>
        </w:rPr>
        <w:t>AER</w:t>
      </w:r>
      <w:r>
        <w:t xml:space="preserve"> when determining whether any amount is payable or recoverable by the relevant </w:t>
      </w:r>
      <w:r>
        <w:t>NSW DNSP</w:t>
      </w:r>
      <w:r>
        <w:t xml:space="preserve"> under any </w:t>
      </w:r>
      <w:r>
        <w:t>scheme</w:t>
      </w:r>
      <w:r>
        <w:t xml:space="preserve"> that applies to that </w:t>
      </w:r>
      <w:r>
        <w:t>NSW DNSP</w:t>
      </w:r>
      <w:r>
        <w:t xml:space="preserve"> in respect of the </w:t>
      </w:r>
      <w:r>
        <w:t>subsequent regulatory control period</w:t>
      </w:r>
      <w:r>
        <w:t>.</w:t>
      </w:r>
    </w:p>
    <w:p>
      <w:pPr>
        <w:pStyle w:val="NER-Cl-Title-Lvl-4"/>
      </w:pPr>
      <w:bookmarkStart w:id="28" w:name="_Toc256001038"/>
      <w:r>
        <w:t>8A.14.7</w:t>
        <w:tab/>
      </w:r>
      <w:r>
        <w:t>Requirements for adjustment determination</w:t>
      </w:r>
      <w:bookmarkEnd w:id="28"/>
    </w:p>
    <w:p>
      <w:pPr>
        <w:pStyle w:val="NER-RC-Para"/>
      </w:pPr>
      <w:r>
        <w:t xml:space="preserve">The </w:t>
      </w:r>
      <w:r>
        <w:rPr>
          <w:i/>
        </w:rPr>
        <w:t>AER</w:t>
      </w:r>
      <w:r>
        <w:t xml:space="preserve"> must in respect of an </w:t>
      </w:r>
      <w:r>
        <w:t>adjustment determination</w:t>
      </w:r>
      <w:r>
        <w:t xml:space="preserve"> made for a </w:t>
      </w:r>
      <w:r>
        <w:t>NSW DNSP</w:t>
      </w:r>
      <w:r>
        <w:t>:</w:t>
      </w:r>
    </w:p>
    <w:p>
      <w:pPr>
        <w:pStyle w:val="NER-RC-List-1-MNum"/>
      </w:pPr>
      <w:r>
        <w:t>(a)</w:t>
        <w:tab/>
      </w:r>
      <w:r>
        <w:t xml:space="preserve">make the </w:t>
      </w:r>
      <w:r>
        <w:t>adjustment determination</w:t>
      </w:r>
      <w:r>
        <w:t xml:space="preserve"> after consulting with the relevant </w:t>
      </w:r>
      <w:r>
        <w:t>NSW DNSP</w:t>
      </w:r>
      <w:r>
        <w:t xml:space="preserve"> and any other persons as the </w:t>
      </w:r>
      <w:r>
        <w:rPr>
          <w:i/>
        </w:rPr>
        <w:t>AER</w:t>
      </w:r>
      <w:r>
        <w:t xml:space="preserve"> considers appropriate;</w:t>
      </w:r>
    </w:p>
    <w:p>
      <w:pPr>
        <w:pStyle w:val="NER-RC-List-1-MNum"/>
      </w:pPr>
      <w:r>
        <w:t>(b)</w:t>
        <w:tab/>
      </w:r>
      <w:r>
        <w:rPr>
          <w:i/>
        </w:rPr>
        <w:t>publish</w:t>
      </w:r>
      <w:r>
        <w:t xml:space="preserve"> its </w:t>
      </w:r>
      <w:r>
        <w:t>adjustment determination</w:t>
      </w:r>
      <w:r>
        <w:t xml:space="preserve"> at the time of publication of the </w:t>
      </w:r>
      <w:r>
        <w:t>remade 2015 determination</w:t>
      </w:r>
      <w:r>
        <w:t>; and</w:t>
      </w:r>
    </w:p>
    <w:p>
      <w:pPr>
        <w:pStyle w:val="NER-RC-List-1-MNum"/>
      </w:pPr>
      <w:r>
        <w:t>(c)</w:t>
        <w:tab/>
      </w:r>
      <w:r>
        <w:t xml:space="preserve">include in its </w:t>
      </w:r>
      <w:r>
        <w:t>adjustment determination</w:t>
      </w:r>
      <w:r>
        <w:t xml:space="preserve">, the reasons for the </w:t>
      </w:r>
      <w:r>
        <w:rPr>
          <w:i/>
        </w:rPr>
        <w:t>AER's</w:t>
      </w:r>
      <w:r>
        <w:t xml:space="preserve"> determination of:</w:t>
      </w:r>
    </w:p>
    <w:p>
      <w:pPr>
        <w:pStyle w:val="NER-RC-List-2-MNum"/>
      </w:pPr>
      <w:r>
        <w:t>(1)</w:t>
        <w:tab/>
      </w:r>
      <w:r>
        <w:t xml:space="preserve">if </w:t>
      </w:r>
      <w:r>
        <w:t>clause 8A.14.4</w:t>
      </w:r>
      <w:r>
        <w:t xml:space="preserve"> applies, the </w:t>
      </w:r>
      <w:r>
        <w:t>adjustment amount</w:t>
      </w:r>
      <w:r>
        <w:t xml:space="preserve"> (including any adjustment made under clause </w:t>
      </w:r>
      <w:r>
        <w:t>8A.14.4(d)(1)(ii)</w:t>
      </w:r>
      <w:r>
        <w:t xml:space="preserve"> or </w:t>
      </w:r>
      <w:r>
        <w:t>8A.14.4(d)(2)(ii)</w:t>
      </w:r>
      <w:r>
        <w:t xml:space="preserve">) and </w:t>
      </w:r>
      <w:r>
        <w:t>subsequent adjustment amount</w:t>
      </w:r>
      <w:r>
        <w:t xml:space="preserve"> or, where the </w:t>
      </w:r>
      <w:r>
        <w:rPr>
          <w:i/>
        </w:rPr>
        <w:t>AER</w:t>
      </w:r>
      <w:r>
        <w:t xml:space="preserve"> has not determined an </w:t>
      </w:r>
      <w:r>
        <w:t>adjustment amount</w:t>
      </w:r>
      <w:r>
        <w:t xml:space="preserve"> and </w:t>
      </w:r>
      <w:r>
        <w:t>subsequent adjustment amount</w:t>
      </w:r>
      <w:r>
        <w:t>, the reasons for that decision; or</w:t>
      </w:r>
    </w:p>
    <w:p>
      <w:pPr>
        <w:pStyle w:val="NER-RC-List-2-MNum"/>
      </w:pPr>
      <w:r>
        <w:t>(2)</w:t>
        <w:tab/>
      </w:r>
      <w:r>
        <w:t xml:space="preserve">if clause </w:t>
      </w:r>
      <w:r>
        <w:t>8A.14.5</w:t>
      </w:r>
      <w:r>
        <w:t xml:space="preserve"> or </w:t>
      </w:r>
      <w:r>
        <w:t>8A.14.6</w:t>
      </w:r>
      <w:r>
        <w:t xml:space="preserve"> applies, the </w:t>
      </w:r>
      <w:r>
        <w:t>distribution variation amount</w:t>
      </w:r>
      <w:r>
        <w:t xml:space="preserve"> and </w:t>
      </w:r>
      <w:r>
        <w:t>transmission variation amount</w:t>
      </w:r>
      <w:r>
        <w:t>.</w:t>
      </w:r>
    </w:p>
    <w:p>
      <w:pPr>
        <w:pStyle w:val="NER-Cl-Title-Lvl-4"/>
      </w:pPr>
      <w:bookmarkStart w:id="29" w:name="_Toc256001039"/>
      <w:r>
        <w:t>8A.14.8</w:t>
        <w:tab/>
      </w:r>
      <w:r>
        <w:t>Application of Chapter 6 under participant derogation</w:t>
      </w:r>
      <w:bookmarkEnd w:id="29"/>
    </w:p>
    <w:p>
      <w:pPr>
        <w:pStyle w:val="NER-RC-List-1-MNum"/>
      </w:pPr>
      <w:r>
        <w:t>(a)</w:t>
        <w:tab/>
      </w:r>
      <w:r>
        <w:t xml:space="preserve">Except as otherwise specified in this rule 8A.14 or </w:t>
      </w:r>
      <w:r>
        <w:t>Chapter 11</w:t>
      </w:r>
      <w:r>
        <w:t xml:space="preserve">, </w:t>
      </w:r>
      <w:r>
        <w:t>Chapter 6</w:t>
      </w:r>
      <w:r>
        <w:t xml:space="preserve"> applies to:</w:t>
      </w:r>
    </w:p>
    <w:p>
      <w:pPr>
        <w:pStyle w:val="NER-RC-List-2-MNum"/>
      </w:pPr>
      <w:r>
        <w:t>(1)</w:t>
        <w:tab/>
      </w:r>
      <w:r>
        <w:t xml:space="preserve">the remainder of the </w:t>
      </w:r>
      <w:r>
        <w:t>current regulatory control period</w:t>
      </w:r>
      <w:r>
        <w:t>; and</w:t>
      </w:r>
    </w:p>
    <w:p>
      <w:pPr>
        <w:pStyle w:val="NER-RC-List-2-MNum"/>
      </w:pPr>
      <w:r>
        <w:t>(2)</w:t>
        <w:tab/>
      </w:r>
      <w:r>
        <w:t xml:space="preserve">the making of the </w:t>
      </w:r>
      <w:r>
        <w:t>subsequent distribution determination</w:t>
      </w:r>
      <w:r>
        <w:t>,</w:t>
      </w:r>
    </w:p>
    <w:p>
      <w:pPr>
        <w:pStyle w:val="NER-RC-Text-In-1"/>
      </w:pPr>
      <w:r>
        <w:t xml:space="preserve">in respect of each </w:t>
      </w:r>
      <w:r>
        <w:t>NSW DNSP</w:t>
      </w:r>
      <w:r>
        <w:t>.</w:t>
      </w:r>
    </w:p>
    <w:p>
      <w:pPr>
        <w:pStyle w:val="NER-RC-List-1-MNum"/>
      </w:pPr>
      <w:r>
        <w:t>(b)</w:t>
        <w:tab/>
      </w:r>
      <w:r>
        <w:t xml:space="preserve">If </w:t>
      </w:r>
      <w:r>
        <w:t>clause 8A.14.4</w:t>
      </w:r>
      <w:r>
        <w:t xml:space="preserve"> applies in respect of a </w:t>
      </w:r>
      <w:r>
        <w:t>NSW DNSP</w:t>
      </w:r>
      <w:r>
        <w:t xml:space="preserve">, the reference to 'any applicable distribution determination' in clauses </w:t>
      </w:r>
      <w:r>
        <w:t>6.18.2(b)(7)</w:t>
      </w:r>
      <w:r>
        <w:t xml:space="preserve">, </w:t>
      </w:r>
      <w:r>
        <w:t>6.18.2(b)(8)</w:t>
      </w:r>
      <w:r>
        <w:t xml:space="preserve">, </w:t>
      </w:r>
      <w:r>
        <w:t>6.18.8(a)(1)</w:t>
      </w:r>
      <w:r>
        <w:t xml:space="preserve"> and </w:t>
      </w:r>
      <w:r>
        <w:t>6.18.8(c)</w:t>
      </w:r>
      <w:r>
        <w:t xml:space="preserve"> will be taken to be the applicable distribution determination as supplemented by the requirements for the </w:t>
      </w:r>
      <w:r>
        <w:t>NSW DNSP</w:t>
      </w:r>
      <w:r>
        <w:t xml:space="preserve">'s </w:t>
      </w:r>
      <w:r>
        <w:rPr>
          <w:i/>
        </w:rPr>
        <w:t xml:space="preserve">pricing proposal </w:t>
      </w:r>
      <w:r>
        <w:t xml:space="preserve">under </w:t>
      </w:r>
      <w:r>
        <w:t>clause 8A.14.4(d)</w:t>
      </w:r>
      <w:r>
        <w:t>.</w:t>
      </w:r>
    </w:p>
    <w:p>
      <w:pPr>
        <w:pStyle w:val="NER-RC-List-1-MNum"/>
      </w:pPr>
      <w:r>
        <w:t>(c)</w:t>
        <w:tab/>
      </w:r>
      <w:r>
        <w:t xml:space="preserve">For the purposes of the application of clauses </w:t>
      </w:r>
      <w:r>
        <w:t>8A.14.4</w:t>
      </w:r>
      <w:r>
        <w:t xml:space="preserve">, </w:t>
      </w:r>
      <w:r>
        <w:t>8A.14.5</w:t>
      </w:r>
      <w:r>
        <w:t xml:space="preserve"> and </w:t>
      </w:r>
      <w:r>
        <w:t>8A.14.6</w:t>
      </w:r>
      <w:r>
        <w:t xml:space="preserve"> (as applicable) in respect of a </w:t>
      </w:r>
      <w:r>
        <w:t>NSW DNSP</w:t>
      </w:r>
      <w:r>
        <w:t xml:space="preserve">, </w:t>
      </w:r>
      <w:r>
        <w:t>Chapter 6</w:t>
      </w:r>
      <w:r>
        <w:t xml:space="preserve"> and 6A are amended for the remainder of the </w:t>
      </w:r>
      <w:r>
        <w:t>current regulatory control period</w:t>
      </w:r>
      <w:r>
        <w:t xml:space="preserve"> and the </w:t>
      </w:r>
      <w:r>
        <w:t>subsequent regulatory control period</w:t>
      </w:r>
      <w:r>
        <w:t xml:space="preserve"> as follows:</w:t>
      </w:r>
    </w:p>
    <w:p>
      <w:pPr>
        <w:pStyle w:val="NER-RC-List-2-MNum"/>
      </w:pPr>
      <w:r>
        <w:t>(1)</w:t>
        <w:tab/>
      </w:r>
      <w:r>
        <w:t xml:space="preserve">the requirement under the </w:t>
      </w:r>
      <w:r>
        <w:rPr>
          <w:i/>
        </w:rPr>
        <w:t>Rules</w:t>
      </w:r>
      <w:r>
        <w:t xml:space="preserve"> for pricing for </w:t>
      </w:r>
      <w:r>
        <w:rPr>
          <w:i/>
        </w:rPr>
        <w:t>direct control services</w:t>
      </w:r>
      <w:r>
        <w:t xml:space="preserve"> in a </w:t>
      </w:r>
      <w:r>
        <w:rPr>
          <w:i/>
        </w:rPr>
        <w:t>pricing proposal</w:t>
      </w:r>
      <w:r>
        <w:t xml:space="preserve"> to comply with the </w:t>
      </w:r>
      <w:r>
        <w:rPr>
          <w:i/>
        </w:rPr>
        <w:t xml:space="preserve">tariff structure statement </w:t>
      </w:r>
      <w:r>
        <w:t xml:space="preserve">does not apply to the extent necessary to allow for the submission of a </w:t>
      </w:r>
      <w:r>
        <w:rPr>
          <w:i/>
        </w:rPr>
        <w:t>pricing proposal</w:t>
      </w:r>
      <w:r>
        <w:t xml:space="preserve"> by a </w:t>
      </w:r>
      <w:r>
        <w:t>NSW DNSP</w:t>
      </w:r>
      <w:r>
        <w:t xml:space="preserve">, and subsequent approval of such </w:t>
      </w:r>
      <w:r>
        <w:rPr>
          <w:i/>
        </w:rPr>
        <w:t>pricing proposal</w:t>
      </w:r>
      <w:r>
        <w:t xml:space="preserve"> by the </w:t>
      </w:r>
      <w:r>
        <w:rPr>
          <w:i/>
        </w:rPr>
        <w:t>AER</w:t>
      </w:r>
      <w:r>
        <w:t xml:space="preserve">, in accordance with this </w:t>
      </w:r>
      <w:r>
        <w:rPr>
          <w:i/>
        </w:rPr>
        <w:t>participant derogation</w:t>
      </w:r>
      <w:r>
        <w:t>;</w:t>
      </w:r>
    </w:p>
    <w:p>
      <w:pPr>
        <w:pStyle w:val="NER-RC-List-2-MNum"/>
      </w:pPr>
      <w:r>
        <w:t>(2)</w:t>
        <w:tab/>
      </w:r>
      <w:r>
        <w:t>if any variation in proposed tariffs occurs as a result of:</w:t>
      </w:r>
    </w:p>
    <w:p>
      <w:pPr>
        <w:pStyle w:val="NER-RC-List-3-MNum"/>
      </w:pPr>
      <w:r>
        <w:t>(i)</w:t>
        <w:tab/>
      </w:r>
      <w:r>
        <w:t xml:space="preserve">the </w:t>
      </w:r>
      <w:r>
        <w:t>remade 2015 determination</w:t>
      </w:r>
      <w:r>
        <w:t>; or</w:t>
      </w:r>
    </w:p>
    <w:p>
      <w:pPr>
        <w:pStyle w:val="NER-RC-List-3-MNum"/>
      </w:pPr>
      <w:r>
        <w:t>(ii)</w:t>
        <w:tab/>
      </w:r>
      <w:r>
        <w:t xml:space="preserve">the application of this </w:t>
      </w:r>
      <w:r>
        <w:rPr>
          <w:i/>
        </w:rPr>
        <w:t>participant derogation</w:t>
      </w:r>
      <w:r>
        <w:t>,</w:t>
      </w:r>
    </w:p>
    <w:p>
      <w:pPr>
        <w:pStyle w:val="NER-RC-Text-In-2"/>
      </w:pPr>
      <w:r>
        <w:t xml:space="preserve">such variations will be taken to be explained by the relevant </w:t>
      </w:r>
      <w:r>
        <w:t>NSW DNSP</w:t>
      </w:r>
      <w:r>
        <w:t xml:space="preserve"> for the purposes of clauses </w:t>
      </w:r>
      <w:r>
        <w:t>6.18.2(b)(7A)</w:t>
      </w:r>
      <w:r>
        <w:t xml:space="preserve"> and </w:t>
      </w:r>
      <w:r>
        <w:t>6.18.8(a)(2)</w:t>
      </w:r>
      <w:r>
        <w:t>;</w:t>
      </w:r>
    </w:p>
    <w:p>
      <w:pPr>
        <w:pStyle w:val="NER-RC-List-2-MNum"/>
      </w:pPr>
      <w:r>
        <w:t>(3)</w:t>
        <w:tab/>
      </w:r>
      <w:r>
        <w:t xml:space="preserve">to the extent that a </w:t>
      </w:r>
      <w:r>
        <w:t>NSW DNSP</w:t>
      </w:r>
      <w:r>
        <w:t xml:space="preserve">'s tariffs vary from tariffs which would result from complying with the pricing principles in </w:t>
      </w:r>
      <w:r>
        <w:t>clause 6.18.5(e)</w:t>
      </w:r>
      <w:r>
        <w:t xml:space="preserve"> to (g) due to the application of this </w:t>
      </w:r>
      <w:r>
        <w:rPr>
          <w:i/>
        </w:rPr>
        <w:t>participant derogation</w:t>
      </w:r>
      <w:r>
        <w:t xml:space="preserve">, such variation is taken to be a variation from the pricing principles permitted under </w:t>
      </w:r>
      <w:r>
        <w:t>clause 6.18.5(c)</w:t>
      </w:r>
      <w:r>
        <w:t>;</w:t>
      </w:r>
    </w:p>
    <w:p>
      <w:pPr>
        <w:pStyle w:val="NER-RC-List-2-MNum"/>
      </w:pPr>
      <w:r>
        <w:t>(4)</w:t>
        <w:tab/>
      </w:r>
      <w:r>
        <w:t xml:space="preserve">to the extent that a </w:t>
      </w:r>
      <w:r>
        <w:t>NSW DNSP</w:t>
      </w:r>
      <w:r>
        <w:t xml:space="preserve">'s </w:t>
      </w:r>
      <w:r>
        <w:rPr>
          <w:i/>
        </w:rPr>
        <w:t>tariff structure statement</w:t>
      </w:r>
      <w:r>
        <w:t xml:space="preserve"> varies from a </w:t>
      </w:r>
      <w:r>
        <w:rPr>
          <w:i/>
        </w:rPr>
        <w:t xml:space="preserve">tariff structure statement </w:t>
      </w:r>
      <w:r>
        <w:t xml:space="preserve">which would result from complying with the </w:t>
      </w:r>
      <w:r>
        <w:rPr>
          <w:i/>
        </w:rPr>
        <w:t>pricing principles for direct control services</w:t>
      </w:r>
      <w:r>
        <w:t xml:space="preserve"> due to the application of this </w:t>
      </w:r>
      <w:r>
        <w:rPr>
          <w:i/>
        </w:rPr>
        <w:t>participant derogation</w:t>
      </w:r>
      <w:r>
        <w:t xml:space="preserve">, such variation is permitted under the </w:t>
      </w:r>
      <w:r>
        <w:rPr>
          <w:i/>
        </w:rPr>
        <w:t>Rules</w:t>
      </w:r>
      <w:r>
        <w:t>;</w:t>
      </w:r>
    </w:p>
    <w:p>
      <w:pPr>
        <w:pStyle w:val="NER-RC-List-2-MNum"/>
      </w:pPr>
      <w:r>
        <w:t>(5)</w:t>
        <w:tab/>
      </w:r>
      <w:r>
        <w:t>clause 6.18.6</w:t>
      </w:r>
      <w:r>
        <w:t xml:space="preserve"> does not apply to the extent that a </w:t>
      </w:r>
      <w:r>
        <w:t>NSW DNSP</w:t>
      </w:r>
      <w:r>
        <w:t xml:space="preserve">'s tariffs vary from tariffs which would otherwise result from complying with </w:t>
      </w:r>
      <w:r>
        <w:t>clause 6.18.6</w:t>
      </w:r>
      <w:r>
        <w:t xml:space="preserve">, due to the application of this </w:t>
      </w:r>
      <w:r>
        <w:rPr>
          <w:i/>
        </w:rPr>
        <w:t>participant derogation</w:t>
      </w:r>
      <w:r>
        <w:t>;</w:t>
      </w:r>
    </w:p>
    <w:p>
      <w:pPr>
        <w:pStyle w:val="NER-RC-List-2-MNum"/>
      </w:pPr>
      <w:r>
        <w:t>(6)</w:t>
        <w:tab/>
      </w:r>
      <w:r>
        <w:t xml:space="preserve">if the </w:t>
      </w:r>
      <w:r>
        <w:rPr>
          <w:i/>
        </w:rPr>
        <w:t>AER</w:t>
      </w:r>
      <w:r>
        <w:t xml:space="preserve"> amends a </w:t>
      </w:r>
      <w:r>
        <w:rPr>
          <w:i/>
        </w:rPr>
        <w:t>pricing proposal</w:t>
      </w:r>
      <w:r>
        <w:t xml:space="preserve"> under clause </w:t>
      </w:r>
      <w:r>
        <w:t>6.18.8(b)(2)</w:t>
      </w:r>
      <w:r>
        <w:t xml:space="preserve"> or </w:t>
      </w:r>
      <w:r>
        <w:t>6.18.8(c)</w:t>
      </w:r>
      <w:r>
        <w:t xml:space="preserve">, then in addition to the requirements in </w:t>
      </w:r>
      <w:r>
        <w:t>clause 6.18.8(c1)</w:t>
      </w:r>
      <w:r>
        <w:t xml:space="preserve">, the </w:t>
      </w:r>
      <w:r>
        <w:rPr>
          <w:i/>
        </w:rPr>
        <w:t xml:space="preserve">AER </w:t>
      </w:r>
      <w:r>
        <w:t>must also have regard to:</w:t>
      </w:r>
    </w:p>
    <w:p>
      <w:pPr>
        <w:pStyle w:val="NER-RC-List-3-MNum"/>
      </w:pPr>
      <w:r>
        <w:t>(i)</w:t>
        <w:tab/>
      </w:r>
      <w:r>
        <w:t xml:space="preserve">any variation in proposed tariffs that result from the </w:t>
      </w:r>
      <w:r>
        <w:t>remade 2015 determination</w:t>
      </w:r>
      <w:r>
        <w:t>; and</w:t>
      </w:r>
    </w:p>
    <w:p>
      <w:pPr>
        <w:pStyle w:val="NER-RC-List-3-MNum"/>
      </w:pPr>
      <w:r>
        <w:t>(ii)</w:t>
        <w:tab/>
      </w:r>
      <w:r>
        <w:t xml:space="preserve">any variation in proposed tariffs that result from the application of this </w:t>
      </w:r>
      <w:r>
        <w:rPr>
          <w:i/>
        </w:rPr>
        <w:t>participant derogation</w:t>
      </w:r>
      <w:r>
        <w:t>;</w:t>
      </w:r>
    </w:p>
    <w:p>
      <w:pPr>
        <w:pStyle w:val="NER-RC-List-2-MNum"/>
      </w:pPr>
      <w:r>
        <w:t>(7)</w:t>
        <w:tab/>
      </w:r>
      <w:r>
        <w:t xml:space="preserve">if </w:t>
      </w:r>
      <w:r>
        <w:t>clause 8A.14.6</w:t>
      </w:r>
      <w:r>
        <w:t xml:space="preserve"> applies, </w:t>
      </w:r>
      <w:r>
        <w:t>clause 6.5.9(b)(2)</w:t>
      </w:r>
      <w:r>
        <w:t xml:space="preserve"> does not apply to the extent necessary to include a revenue increase or revenue decrease (as the case may be) to the </w:t>
      </w:r>
      <w:r>
        <w:rPr>
          <w:i/>
        </w:rPr>
        <w:t>annual revenue requirement</w:t>
      </w:r>
      <w:r>
        <w:t xml:space="preserve"> of one or more regulatory years for the </w:t>
      </w:r>
      <w:r>
        <w:t>subsequent regulatory control period</w:t>
      </w:r>
      <w:r>
        <w:t xml:space="preserve"> for the relevant </w:t>
      </w:r>
      <w:r>
        <w:t>NSW DNSP</w:t>
      </w:r>
      <w:r>
        <w:t xml:space="preserve"> under </w:t>
      </w:r>
      <w:r>
        <w:t>clause 8A.14.6(c)</w:t>
      </w:r>
      <w:r>
        <w:t>;</w:t>
      </w:r>
    </w:p>
    <w:p>
      <w:pPr>
        <w:pStyle w:val="NER-RC-List-2-MNum"/>
      </w:pPr>
      <w:r>
        <w:t>(8)</w:t>
        <w:tab/>
      </w:r>
      <w:r>
        <w:t xml:space="preserve">if </w:t>
      </w:r>
      <w:r>
        <w:t>clause 8A.14.4</w:t>
      </w:r>
      <w:r>
        <w:t xml:space="preserve"> applies, the reference to 'the other revenue increments or decrements' in clauses </w:t>
      </w:r>
      <w:r>
        <w:t>6.4.3(a)(6)</w:t>
      </w:r>
      <w:r>
        <w:t xml:space="preserve"> and </w:t>
      </w:r>
      <w:r>
        <w:t>6.4.3(b)(6)</w:t>
      </w:r>
      <w:r>
        <w:t xml:space="preserve"> is taken to include such increments or decrements as adjusted to the extent necessary to take into account the application of the </w:t>
      </w:r>
      <w:r>
        <w:t>substituted total annual revenue amount</w:t>
      </w:r>
      <w:r>
        <w:t xml:space="preserve"> under </w:t>
      </w:r>
      <w:r>
        <w:t>clause 8A.14.4(d)</w:t>
      </w:r>
      <w:r>
        <w:t>; and</w:t>
      </w:r>
    </w:p>
    <w:p>
      <w:pPr>
        <w:pStyle w:val="NER-RC-List-2-MNum"/>
      </w:pPr>
      <w:r>
        <w:t>(9)</w:t>
        <w:tab/>
      </w:r>
      <w:r>
        <w:t xml:space="preserve">if clause </w:t>
      </w:r>
      <w:r>
        <w:t>8A.14.5</w:t>
      </w:r>
      <w:r>
        <w:t xml:space="preserve"> or </w:t>
      </w:r>
      <w:r>
        <w:t>8A.14.6</w:t>
      </w:r>
      <w:r>
        <w:t xml:space="preserve"> applies, </w:t>
      </w:r>
      <w:r>
        <w:t>clauses 6A.23.3(e)(5)</w:t>
      </w:r>
      <w:r>
        <w:t xml:space="preserve">, (f) and (g) do not apply in respect of any </w:t>
      </w:r>
      <w:r>
        <w:t>transmission variation amount</w:t>
      </w:r>
      <w:r>
        <w:t>.</w:t>
      </w:r>
    </w:p>
    <w:p>
      <w:pPr>
        <w:pStyle w:val="NER-Pt-Title"/>
      </w:pPr>
      <w:bookmarkStart w:id="30" w:name="_Toc256001040"/>
      <w:r>
        <w:t>Part 15</w:t>
        <w:tab/>
      </w:r>
      <w:r>
        <w:t>Derogations granted to ActewAGL</w:t>
      </w:r>
      <w:bookmarkEnd w:id="30"/>
    </w:p>
    <w:p>
      <w:pPr>
        <w:pStyle w:val="NER-Rule-Title-Lvl-3"/>
      </w:pPr>
      <w:bookmarkStart w:id="31" w:name="_Toc256001041"/>
      <w:r>
        <w:t>8A.15</w:t>
        <w:tab/>
      </w:r>
      <w:r>
        <w:t>Derogations from Chapter 6 for the current regulatory control period and subsequent regulatory control period</w:t>
      </w:r>
      <w:bookmarkEnd w:id="31"/>
    </w:p>
    <w:p>
      <w:pPr>
        <w:pStyle w:val="NER-Cl-Title-Lvl-4"/>
      </w:pPr>
      <w:bookmarkStart w:id="32" w:name="_Toc256001042"/>
      <w:r>
        <w:t>8A.15.1</w:t>
        <w:tab/>
      </w:r>
      <w:r>
        <w:t>Definitions</w:t>
      </w:r>
      <w:bookmarkEnd w:id="32"/>
    </w:p>
    <w:p>
      <w:pPr>
        <w:pStyle w:val="NER-RC-Para"/>
      </w:pPr>
      <w:r>
        <w:t xml:space="preserve">In this </w:t>
      </w:r>
      <w:r>
        <w:rPr>
          <w:i/>
        </w:rPr>
        <w:t>participant derogation</w:t>
      </w:r>
      <w:r>
        <w:t xml:space="preserve">, </w:t>
      </w:r>
      <w:r>
        <w:t>rule 8A.15</w:t>
      </w:r>
      <w:r>
        <w:t>:</w:t>
      </w:r>
    </w:p>
    <w:p>
      <w:pPr>
        <w:pStyle w:val="NER-RC-Para"/>
      </w:pPr>
      <w:r>
        <w:rPr>
          <w:b/>
        </w:rPr>
        <w:t>2015 determination</w:t>
      </w:r>
      <w:r>
        <w:t xml:space="preserve"> means the distribution determination for the </w:t>
      </w:r>
      <w:r>
        <w:t>current regulatory control period</w:t>
      </w:r>
      <w:r>
        <w:t xml:space="preserve"> published by the </w:t>
      </w:r>
      <w:r>
        <w:rPr>
          <w:i/>
        </w:rPr>
        <w:t>AER</w:t>
      </w:r>
      <w:r>
        <w:t xml:space="preserve"> on 30 April 2015 in respect of </w:t>
      </w:r>
      <w:r>
        <w:t>ActewAGL</w:t>
      </w:r>
      <w:r>
        <w:t>.</w:t>
      </w:r>
    </w:p>
    <w:p>
      <w:pPr>
        <w:pStyle w:val="NER-RC-Para"/>
      </w:pPr>
      <w:r>
        <w:rPr>
          <w:b/>
        </w:rPr>
        <w:t>ActewAGL</w:t>
      </w:r>
      <w:r>
        <w:t xml:space="preserve"> means </w:t>
      </w:r>
      <w:r>
        <w:t>ActewAGL</w:t>
      </w:r>
      <w:r>
        <w:t xml:space="preserve"> Distribution, the joint venture between Icon Distribution Investments Limited ACN 073 025 224 and Jemena Networks (ACT) Pty Ltd ACN 008 552 663, which is registered by </w:t>
      </w:r>
      <w:r>
        <w:rPr>
          <w:i/>
        </w:rPr>
        <w:t>AEMO</w:t>
      </w:r>
      <w:r>
        <w:t xml:space="preserve"> as a </w:t>
      </w:r>
      <w:r>
        <w:rPr>
          <w:i/>
        </w:rPr>
        <w:t>Network Service Provider</w:t>
      </w:r>
      <w:r>
        <w:t xml:space="preserve"> in accordance with section 12(1) of the </w:t>
      </w:r>
      <w:r>
        <w:rPr>
          <w:i/>
        </w:rPr>
        <w:t>NEL</w:t>
      </w:r>
      <w:r>
        <w:t xml:space="preserve"> and </w:t>
      </w:r>
      <w:r>
        <w:t>clause 2.5.1</w:t>
      </w:r>
      <w:r>
        <w:t xml:space="preserve"> of the </w:t>
      </w:r>
      <w:r>
        <w:rPr>
          <w:i/>
        </w:rPr>
        <w:t>Rules</w:t>
      </w:r>
      <w:r>
        <w:t xml:space="preserve"> to own, control and operate the </w:t>
      </w:r>
      <w:r>
        <w:rPr>
          <w:i/>
        </w:rPr>
        <w:t>distribution system</w:t>
      </w:r>
      <w:r>
        <w:t xml:space="preserve"> in the Australian Capital Territory, or any successor to its business.</w:t>
      </w:r>
    </w:p>
    <w:p>
      <w:pPr>
        <w:pStyle w:val="NER-RC-Para"/>
      </w:pPr>
      <w:r>
        <w:rPr>
          <w:b/>
        </w:rPr>
        <w:t>adjustment amount</w:t>
      </w:r>
      <w:r>
        <w:t xml:space="preserve"> means an amount that operates as if it were:</w:t>
      </w:r>
    </w:p>
    <w:p>
      <w:pPr>
        <w:pStyle w:val="NER-RC-List-1-MNum"/>
      </w:pPr>
      <w:r>
        <w:t>(a)</w:t>
        <w:tab/>
      </w:r>
      <w:r>
        <w:t>a revenue increase; or</w:t>
      </w:r>
    </w:p>
    <w:p>
      <w:pPr>
        <w:pStyle w:val="NER-RC-List-1-MNum"/>
      </w:pPr>
      <w:r>
        <w:t>(b)</w:t>
        <w:tab/>
      </w:r>
      <w:r>
        <w:t>a revenue decrease,</w:t>
      </w:r>
    </w:p>
    <w:p>
      <w:pPr>
        <w:pStyle w:val="NER-RC-Para"/>
      </w:pPr>
      <w:r>
        <w:t xml:space="preserve">to the </w:t>
      </w:r>
      <w:r>
        <w:t>total revenue</w:t>
      </w:r>
      <w:r>
        <w:t xml:space="preserve"> for </w:t>
      </w:r>
      <w:r>
        <w:t>distribution standard control services</w:t>
      </w:r>
      <w:r>
        <w:t xml:space="preserve"> that may be earned by </w:t>
      </w:r>
      <w:r>
        <w:t>ActewAGL</w:t>
      </w:r>
      <w:r>
        <w:t xml:space="preserve"> for the final </w:t>
      </w:r>
      <w:r>
        <w:t>regulatory year</w:t>
      </w:r>
      <w:r>
        <w:t xml:space="preserve"> of the </w:t>
      </w:r>
      <w:r>
        <w:t>current regulatory control period</w:t>
      </w:r>
      <w:r>
        <w:t xml:space="preserve"> in accordance with:</w:t>
      </w:r>
    </w:p>
    <w:p>
      <w:pPr>
        <w:pStyle w:val="NER-RC-List-1-MNum"/>
      </w:pPr>
      <w:r>
        <w:t>(c)</w:t>
        <w:tab/>
      </w:r>
      <w:r>
        <w:t>the formulae that give effect to the applicable control mechanism;</w:t>
      </w:r>
    </w:p>
    <w:p>
      <w:pPr>
        <w:pStyle w:val="NER-RC-List-1-MNum"/>
      </w:pPr>
      <w:r>
        <w:t>(d)</w:t>
        <w:tab/>
      </w:r>
      <w:r>
        <w:t>the applicable forecast demand (kWh); and</w:t>
      </w:r>
    </w:p>
    <w:p>
      <w:pPr>
        <w:pStyle w:val="NER-RC-List-1-MNum"/>
      </w:pPr>
      <w:r>
        <w:t>(e)</w:t>
        <w:tab/>
      </w:r>
      <w:r>
        <w:t xml:space="preserve">the applicable </w:t>
      </w:r>
      <w:r>
        <w:rPr>
          <w:i/>
        </w:rPr>
        <w:t>annual revenue requirement</w:t>
      </w:r>
      <w:r>
        <w:t>,</w:t>
      </w:r>
    </w:p>
    <w:p>
      <w:pPr>
        <w:pStyle w:val="NER-RC-Para"/>
      </w:pPr>
      <w:r>
        <w:t xml:space="preserve">under the </w:t>
      </w:r>
      <w:r>
        <w:t>remade 2015 determination</w:t>
      </w:r>
      <w:r>
        <w:t>.</w:t>
      </w:r>
    </w:p>
    <w:p>
      <w:pPr>
        <w:pStyle w:val="NER-RC-Para"/>
      </w:pPr>
      <w:r>
        <w:rPr>
          <w:b/>
        </w:rPr>
        <w:t>adjustment determination</w:t>
      </w:r>
      <w:r>
        <w:t xml:space="preserve"> means the </w:t>
      </w:r>
      <w:r>
        <w:rPr>
          <w:i/>
        </w:rPr>
        <w:t>AER's</w:t>
      </w:r>
      <w:r>
        <w:t xml:space="preserve"> determination:</w:t>
      </w:r>
    </w:p>
    <w:p>
      <w:pPr>
        <w:pStyle w:val="NER-RC-List-1-MNum"/>
      </w:pPr>
      <w:r>
        <w:t>(a)</w:t>
        <w:tab/>
      </w:r>
      <w:r>
        <w:t xml:space="preserve">if </w:t>
      </w:r>
      <w:r>
        <w:t>clause 8A.15.4</w:t>
      </w:r>
      <w:r>
        <w:t xml:space="preserve"> applies, of whether there is, and the relevant amounts of, an </w:t>
      </w:r>
      <w:r>
        <w:t>adjustment amount</w:t>
      </w:r>
      <w:r>
        <w:t xml:space="preserve"> (including any adjustments made under clause </w:t>
      </w:r>
      <w:r>
        <w:t>8A.15.4(d)(1)(ii)</w:t>
      </w:r>
      <w:r>
        <w:t xml:space="preserve"> and </w:t>
      </w:r>
      <w:r>
        <w:t>8A.15.4(d)(2)(ii)</w:t>
      </w:r>
      <w:r>
        <w:t xml:space="preserve">) and a </w:t>
      </w:r>
      <w:r>
        <w:t>subsequent adjustment amount</w:t>
      </w:r>
      <w:r>
        <w:t>; or</w:t>
      </w:r>
    </w:p>
    <w:p>
      <w:pPr>
        <w:pStyle w:val="NER-RC-List-1-MNum"/>
      </w:pPr>
      <w:r>
        <w:t>(b)</w:t>
        <w:tab/>
      </w:r>
      <w:r>
        <w:t xml:space="preserve">if clause </w:t>
      </w:r>
      <w:r>
        <w:t>8A.15.5</w:t>
      </w:r>
      <w:r>
        <w:t xml:space="preserve"> or </w:t>
      </w:r>
      <w:r>
        <w:t>8A.15.6</w:t>
      </w:r>
      <w:r>
        <w:t xml:space="preserve"> applies, of the relevant amounts of the </w:t>
      </w:r>
      <w:r>
        <w:t>distribution variation amount</w:t>
      </w:r>
      <w:r>
        <w:t xml:space="preserve">, </w:t>
      </w:r>
      <w:r>
        <w:t>transmission variation amount</w:t>
      </w:r>
      <w:r>
        <w:t xml:space="preserve"> and </w:t>
      </w:r>
      <w:r>
        <w:t>metering variation amount</w:t>
      </w:r>
      <w:r>
        <w:t>.</w:t>
      </w:r>
    </w:p>
    <w:p>
      <w:pPr>
        <w:pStyle w:val="NER-RC-Para"/>
      </w:pPr>
      <w:r>
        <w:rPr>
          <w:b/>
        </w:rPr>
        <w:t>current regulatory control period</w:t>
      </w:r>
      <w:r>
        <w:t xml:space="preserve"> means the period of five years that commenced on 1 July 2014 and ends on 30 June 2019, which includes </w:t>
      </w:r>
      <w:r>
        <w:t>ActewAGL</w:t>
      </w:r>
      <w:r>
        <w:t xml:space="preserve">'s 'transitional </w:t>
      </w:r>
      <w:r>
        <w:t>regulatory control period</w:t>
      </w:r>
      <w:r>
        <w:t>' and '</w:t>
      </w:r>
      <w:r>
        <w:t>subsequent regulatory control period</w:t>
      </w:r>
      <w:r>
        <w:t xml:space="preserve">' as those terms are defined in </w:t>
      </w:r>
      <w:r>
        <w:t>clause 11.55.1</w:t>
      </w:r>
      <w:r>
        <w:t>.</w:t>
      </w:r>
    </w:p>
    <w:p>
      <w:pPr>
        <w:pStyle w:val="NER-RC-Para"/>
      </w:pPr>
      <w:r>
        <w:rPr>
          <w:b/>
        </w:rPr>
        <w:t>distribution standard control services</w:t>
      </w:r>
      <w:r>
        <w:t xml:space="preserve"> means </w:t>
      </w:r>
      <w:r>
        <w:rPr>
          <w:i/>
        </w:rPr>
        <w:t>standard control services</w:t>
      </w:r>
      <w:r>
        <w:t xml:space="preserve"> provided by </w:t>
      </w:r>
      <w:r>
        <w:t>ActewAGL</w:t>
      </w:r>
      <w:r>
        <w:t xml:space="preserve"> other than </w:t>
      </w:r>
      <w:r>
        <w:rPr>
          <w:i/>
        </w:rPr>
        <w:t>transmission standard control services</w:t>
      </w:r>
      <w:r>
        <w:t>.</w:t>
      </w:r>
    </w:p>
    <w:p>
      <w:pPr>
        <w:pStyle w:val="NER-RC-Para"/>
      </w:pPr>
      <w:r>
        <w:rPr>
          <w:b/>
        </w:rPr>
        <w:t>distribution variation amount</w:t>
      </w:r>
      <w:r>
        <w:t xml:space="preserve"> means an amount equal to:</w:t>
      </w:r>
    </w:p>
    <w:p>
      <w:pPr>
        <w:pStyle w:val="NER-RC-List-1-MNum"/>
      </w:pPr>
      <w:r>
        <w:t>(a)</w:t>
        <w:tab/>
      </w:r>
      <w:r>
        <w:t xml:space="preserve">the sum of the </w:t>
      </w:r>
      <w:r>
        <w:t>total revenue</w:t>
      </w:r>
      <w:r>
        <w:t xml:space="preserve"> for </w:t>
      </w:r>
      <w:r>
        <w:t>distribution standard control services</w:t>
      </w:r>
      <w:r>
        <w:t xml:space="preserve"> for </w:t>
      </w:r>
      <w:r>
        <w:t>ActewAGL</w:t>
      </w:r>
      <w:r>
        <w:t xml:space="preserve"> for each </w:t>
      </w:r>
      <w:r>
        <w:t>regulatory year</w:t>
      </w:r>
      <w:r>
        <w:t xml:space="preserve"> of the </w:t>
      </w:r>
      <w:r>
        <w:t>current regulatory control period</w:t>
      </w:r>
      <w:r>
        <w:t xml:space="preserve"> in accordance with:</w:t>
      </w:r>
    </w:p>
    <w:p>
      <w:pPr>
        <w:pStyle w:val="NER-RC-List-2-MNum"/>
      </w:pPr>
      <w:r>
        <w:t>(1)</w:t>
        <w:tab/>
      </w:r>
      <w:r>
        <w:t>the formulae that give effect to the applicable control mechanism;</w:t>
      </w:r>
    </w:p>
    <w:p>
      <w:pPr>
        <w:pStyle w:val="NER-RC-List-2-MNum"/>
      </w:pPr>
      <w:r>
        <w:t>(2)</w:t>
        <w:tab/>
      </w:r>
      <w:r>
        <w:t>the applicable forecast demand (kWh); and</w:t>
      </w:r>
    </w:p>
    <w:p>
      <w:pPr>
        <w:pStyle w:val="NER-RC-List-2-MNum"/>
      </w:pPr>
      <w:r>
        <w:t>(3)</w:t>
        <w:tab/>
      </w:r>
      <w:r>
        <w:t xml:space="preserve">the applicable </w:t>
      </w:r>
      <w:r>
        <w:rPr>
          <w:i/>
        </w:rPr>
        <w:t>annual revenue requirement</w:t>
      </w:r>
      <w:r>
        <w:t>,</w:t>
      </w:r>
    </w:p>
    <w:p>
      <w:pPr>
        <w:pStyle w:val="NER-RC-Text-In-1"/>
      </w:pPr>
      <w:r>
        <w:t xml:space="preserve">under the </w:t>
      </w:r>
      <w:r>
        <w:t>remade 2015 determination</w:t>
      </w:r>
      <w:r>
        <w:t>; minus</w:t>
      </w:r>
    </w:p>
    <w:p>
      <w:pPr>
        <w:pStyle w:val="NER-RC-List-1-MNum"/>
      </w:pPr>
      <w:r>
        <w:t>(b)</w:t>
        <w:tab/>
      </w:r>
      <w:r>
        <w:t>the sum of:</w:t>
      </w:r>
    </w:p>
    <w:p>
      <w:pPr>
        <w:pStyle w:val="NER-RC-List-2-MNum"/>
      </w:pPr>
      <w:r>
        <w:t>(1)</w:t>
        <w:tab/>
      </w:r>
      <w:r>
        <w:t xml:space="preserve">the </w:t>
      </w:r>
      <w:r>
        <w:t>total revenue</w:t>
      </w:r>
      <w:r>
        <w:t xml:space="preserve"> for </w:t>
      </w:r>
      <w:r>
        <w:t>distribution standard control services</w:t>
      </w:r>
      <w:r>
        <w:t xml:space="preserve"> for </w:t>
      </w:r>
      <w:r>
        <w:t>ActewAGL</w:t>
      </w:r>
      <w:r>
        <w:t xml:space="preserve"> for the first and second regulatory years of the </w:t>
      </w:r>
      <w:r>
        <w:t>current regulatory control period</w:t>
      </w:r>
      <w:r>
        <w:t xml:space="preserve"> in accordance with:</w:t>
      </w:r>
    </w:p>
    <w:p>
      <w:pPr>
        <w:pStyle w:val="NER-RC-List-3-MNum"/>
      </w:pPr>
      <w:r>
        <w:t>(i)</w:t>
        <w:tab/>
      </w:r>
      <w:r>
        <w:t>the formulae that give effect to the applicable control mechanism;</w:t>
      </w:r>
    </w:p>
    <w:p>
      <w:pPr>
        <w:pStyle w:val="NER-RC-List-3-MNum"/>
      </w:pPr>
      <w:r>
        <w:t>(ii)</w:t>
        <w:tab/>
      </w:r>
      <w:r>
        <w:t>the applicable forecast demand (kWh); and</w:t>
      </w:r>
    </w:p>
    <w:p>
      <w:pPr>
        <w:pStyle w:val="NER-RC-List-3-MNum"/>
      </w:pPr>
      <w:r>
        <w:t>(iii)</w:t>
        <w:tab/>
      </w:r>
      <w:r>
        <w:t xml:space="preserve">the applicable </w:t>
      </w:r>
      <w:r>
        <w:rPr>
          <w:i/>
        </w:rPr>
        <w:t>annual revenue requirement</w:t>
      </w:r>
      <w:r>
        <w:t>,</w:t>
      </w:r>
    </w:p>
    <w:p>
      <w:pPr>
        <w:pStyle w:val="NER-RC-Text-In-2"/>
      </w:pPr>
      <w:r>
        <w:t xml:space="preserve">under the </w:t>
      </w:r>
      <w:r>
        <w:t>2015 determination</w:t>
      </w:r>
      <w:r>
        <w:t>; plus</w:t>
      </w:r>
    </w:p>
    <w:p>
      <w:pPr>
        <w:pStyle w:val="NER-RC-List-2-MNum"/>
      </w:pPr>
      <w:r>
        <w:t>(2)</w:t>
        <w:tab/>
      </w:r>
      <w:r>
        <w:t xml:space="preserve">the </w:t>
      </w:r>
      <w:r>
        <w:t>total revenue</w:t>
      </w:r>
      <w:r>
        <w:t xml:space="preserve"> for </w:t>
      </w:r>
      <w:r>
        <w:t>distribution standard control services</w:t>
      </w:r>
      <w:r>
        <w:t xml:space="preserve"> for </w:t>
      </w:r>
      <w:r>
        <w:t>ActewAGL</w:t>
      </w:r>
      <w:r>
        <w:t xml:space="preserve"> for the third, fourth and final regulatory years of the </w:t>
      </w:r>
      <w:r>
        <w:t>current regulatory control period</w:t>
      </w:r>
      <w:r>
        <w:t xml:space="preserve"> under the undertakings that apply for those regulatory years,</w:t>
      </w:r>
    </w:p>
    <w:p>
      <w:pPr>
        <w:pStyle w:val="NER-RC-Para"/>
      </w:pPr>
      <w:r>
        <w:t xml:space="preserve">provided that such amount includes any adjustments necessary for the </w:t>
      </w:r>
      <w:r>
        <w:rPr>
          <w:i/>
        </w:rPr>
        <w:t>AER</w:t>
      </w:r>
      <w:r>
        <w:t xml:space="preserve"> to be satisfied that the amount achieves the </w:t>
      </w:r>
      <w:r>
        <w:t>revenue recovery principle</w:t>
      </w:r>
      <w:r>
        <w:t xml:space="preserve"> under clause </w:t>
      </w:r>
      <w:r>
        <w:t>8A.15.5(d)</w:t>
      </w:r>
      <w:r>
        <w:t xml:space="preserve"> or </w:t>
      </w:r>
      <w:r>
        <w:t>8A.15.6(d)</w:t>
      </w:r>
      <w:r>
        <w:t xml:space="preserve"> (as the case may be).</w:t>
      </w:r>
    </w:p>
    <w:p>
      <w:pPr>
        <w:pStyle w:val="NER-RC-Para"/>
      </w:pPr>
      <w:r>
        <w:rPr>
          <w:b/>
        </w:rPr>
        <w:t>metering services</w:t>
      </w:r>
      <w:r>
        <w:t xml:space="preserve"> means type 5 and 6 </w:t>
      </w:r>
      <w:r>
        <w:t>metering services</w:t>
      </w:r>
      <w:r>
        <w:t xml:space="preserve"> classified as </w:t>
      </w:r>
      <w:r>
        <w:rPr>
          <w:i/>
        </w:rPr>
        <w:t xml:space="preserve">alternative control services </w:t>
      </w:r>
      <w:r>
        <w:t xml:space="preserve">and in respect of which annual metering service charges are specified in the </w:t>
      </w:r>
      <w:r>
        <w:t>remade 2015 determination</w:t>
      </w:r>
      <w:r>
        <w:t xml:space="preserve"> or </w:t>
      </w:r>
      <w:r>
        <w:t>2015 determination</w:t>
      </w:r>
      <w:r>
        <w:t xml:space="preserve"> (as the case may be).</w:t>
      </w:r>
    </w:p>
    <w:p>
      <w:pPr>
        <w:pStyle w:val="NER-RC-Para"/>
      </w:pPr>
      <w:r>
        <w:rPr>
          <w:b/>
        </w:rPr>
        <w:t>metering variation amount</w:t>
      </w:r>
      <w:r>
        <w:t xml:space="preserve"> means an amount equal to:</w:t>
      </w:r>
    </w:p>
    <w:p>
      <w:pPr>
        <w:pStyle w:val="NER-RC-List-1-MNum"/>
      </w:pPr>
      <w:r>
        <w:t>(a)</w:t>
        <w:tab/>
      </w:r>
      <w:r>
        <w:t xml:space="preserve">the sum of the </w:t>
      </w:r>
      <w:r>
        <w:t>total revenue</w:t>
      </w:r>
      <w:r>
        <w:t xml:space="preserve"> for </w:t>
      </w:r>
      <w:r>
        <w:t>metering services</w:t>
      </w:r>
      <w:r>
        <w:t xml:space="preserve"> for </w:t>
      </w:r>
      <w:r>
        <w:t>ActewAGL</w:t>
      </w:r>
      <w:r>
        <w:t xml:space="preserve"> for each </w:t>
      </w:r>
      <w:r>
        <w:t>regulatory year</w:t>
      </w:r>
      <w:r>
        <w:t xml:space="preserve"> of the </w:t>
      </w:r>
      <w:r>
        <w:t>current regulatory control period</w:t>
      </w:r>
      <w:r>
        <w:t xml:space="preserve"> in accordance with:</w:t>
      </w:r>
    </w:p>
    <w:p>
      <w:pPr>
        <w:pStyle w:val="NER-RC-List-2-MNum"/>
      </w:pPr>
      <w:r>
        <w:t>(1)</w:t>
        <w:tab/>
      </w:r>
      <w:r>
        <w:t>the formulae that give effect to the applicable control mechanism;</w:t>
      </w:r>
    </w:p>
    <w:p>
      <w:pPr>
        <w:pStyle w:val="NER-RC-List-2-MNum"/>
      </w:pPr>
      <w:r>
        <w:t>(2)</w:t>
        <w:tab/>
      </w:r>
      <w:r>
        <w:t>the applicable forecast volume; and</w:t>
      </w:r>
    </w:p>
    <w:p>
      <w:pPr>
        <w:pStyle w:val="NER-RC-List-2-MNum"/>
      </w:pPr>
      <w:r>
        <w:t>(3)</w:t>
        <w:tab/>
      </w:r>
      <w:r>
        <w:t>the applicable building block revenue requirement,</w:t>
      </w:r>
    </w:p>
    <w:p>
      <w:pPr>
        <w:pStyle w:val="NER-RC-Text-In-1"/>
      </w:pPr>
      <w:r>
        <w:t xml:space="preserve">under the </w:t>
      </w:r>
      <w:r>
        <w:t>remade 2015 determination</w:t>
      </w:r>
      <w:r>
        <w:t>; minus</w:t>
      </w:r>
    </w:p>
    <w:p>
      <w:pPr>
        <w:pStyle w:val="NER-RC-List-1-MNum"/>
      </w:pPr>
      <w:r>
        <w:t>(b)</w:t>
        <w:tab/>
      </w:r>
      <w:r>
        <w:t>the sum of:</w:t>
      </w:r>
    </w:p>
    <w:p>
      <w:pPr>
        <w:pStyle w:val="NER-RC-List-2-MNum"/>
      </w:pPr>
      <w:r>
        <w:t>(1)</w:t>
        <w:tab/>
      </w:r>
      <w:r>
        <w:t xml:space="preserve">the </w:t>
      </w:r>
      <w:r>
        <w:t>total revenue</w:t>
      </w:r>
      <w:r>
        <w:t xml:space="preserve"> for </w:t>
      </w:r>
      <w:r>
        <w:t>metering services</w:t>
      </w:r>
      <w:r>
        <w:t xml:space="preserve"> for </w:t>
      </w:r>
      <w:r>
        <w:t>ActewAGL</w:t>
      </w:r>
      <w:r>
        <w:t xml:space="preserve"> for the first and second regulatory years of the </w:t>
      </w:r>
      <w:r>
        <w:t>current regulatory control period</w:t>
      </w:r>
      <w:r>
        <w:t xml:space="preserve"> in accordance with:</w:t>
      </w:r>
    </w:p>
    <w:p>
      <w:pPr>
        <w:pStyle w:val="NER-RC-List-3-MNum"/>
      </w:pPr>
      <w:r>
        <w:t>(i)</w:t>
        <w:tab/>
      </w:r>
      <w:r>
        <w:t>the formulae that give effect to the applicable control mechanism;</w:t>
      </w:r>
    </w:p>
    <w:p>
      <w:pPr>
        <w:pStyle w:val="NER-RC-List-3-MNum"/>
      </w:pPr>
      <w:r>
        <w:t>(ii)</w:t>
        <w:tab/>
      </w:r>
      <w:r>
        <w:t>the applicable forecast volume; and</w:t>
      </w:r>
    </w:p>
    <w:p>
      <w:pPr>
        <w:pStyle w:val="NER-RC-List-3-MNum"/>
      </w:pPr>
      <w:r>
        <w:t>(iii)</w:t>
        <w:tab/>
      </w:r>
      <w:r>
        <w:t>the applicable building block revenue requirement,</w:t>
      </w:r>
    </w:p>
    <w:p>
      <w:pPr>
        <w:pStyle w:val="NER-RC-Text-In-2"/>
      </w:pPr>
      <w:r>
        <w:t xml:space="preserve">under the </w:t>
      </w:r>
      <w:r>
        <w:t>2015 determination</w:t>
      </w:r>
      <w:r>
        <w:t>; plus</w:t>
      </w:r>
    </w:p>
    <w:p>
      <w:pPr>
        <w:pStyle w:val="NER-RC-List-2-MNum"/>
      </w:pPr>
      <w:r>
        <w:t>(2)</w:t>
        <w:tab/>
      </w:r>
      <w:r>
        <w:t xml:space="preserve">the </w:t>
      </w:r>
      <w:r>
        <w:t>total revenue</w:t>
      </w:r>
      <w:r>
        <w:t xml:space="preserve"> for </w:t>
      </w:r>
      <w:r>
        <w:t>metering services</w:t>
      </w:r>
      <w:r>
        <w:t xml:space="preserve"> for </w:t>
      </w:r>
      <w:r>
        <w:t>ActewAGL</w:t>
      </w:r>
      <w:r>
        <w:t xml:space="preserve"> for the third, fourth and final regulatory years of the </w:t>
      </w:r>
      <w:r>
        <w:t>current regulatory control period</w:t>
      </w:r>
      <w:r>
        <w:t xml:space="preserve"> under the undertakings that apply for those regulatory years,</w:t>
      </w:r>
    </w:p>
    <w:p>
      <w:pPr>
        <w:pStyle w:val="NER-RC-Para"/>
      </w:pPr>
      <w:r>
        <w:t xml:space="preserve">provided that such amount includes any adjustments necessary for the </w:t>
      </w:r>
      <w:r>
        <w:rPr>
          <w:i/>
        </w:rPr>
        <w:t>AER</w:t>
      </w:r>
      <w:r>
        <w:t xml:space="preserve"> to be satisfied that the amount achieves the </w:t>
      </w:r>
      <w:r>
        <w:t>revenue recovery principle</w:t>
      </w:r>
      <w:r>
        <w:t xml:space="preserve"> under clause </w:t>
      </w:r>
      <w:r>
        <w:t>8A.15.5(d)</w:t>
      </w:r>
      <w:r>
        <w:t xml:space="preserve"> or </w:t>
      </w:r>
      <w:r>
        <w:t>8A.15.6(d)</w:t>
      </w:r>
      <w:r>
        <w:t xml:space="preserve"> (as the case may be).</w:t>
      </w:r>
    </w:p>
    <w:p>
      <w:pPr>
        <w:pStyle w:val="NER-RC-Para"/>
      </w:pPr>
      <w:r>
        <w:rPr>
          <w:b/>
        </w:rPr>
        <w:t>NUOS charges</w:t>
      </w:r>
      <w:r>
        <w:t xml:space="preserve"> means charges comprising </w:t>
      </w:r>
      <w:r>
        <w:t>ActewAGL</w:t>
      </w:r>
      <w:r>
        <w:t xml:space="preserve">'s prices for </w:t>
      </w:r>
      <w:r>
        <w:t>distribution standard control services</w:t>
      </w:r>
      <w:r>
        <w:t xml:space="preserve">, </w:t>
      </w:r>
      <w:r>
        <w:rPr>
          <w:i/>
        </w:rPr>
        <w:t>designated pricing proposal charges</w:t>
      </w:r>
      <w:r>
        <w:t xml:space="preserve"> and</w:t>
      </w:r>
      <w:r>
        <w:rPr>
          <w:i/>
        </w:rPr>
        <w:t xml:space="preserve"> jurisdictional scheme amounts</w:t>
      </w:r>
      <w:r>
        <w:t>.</w:t>
      </w:r>
    </w:p>
    <w:p>
      <w:pPr>
        <w:pStyle w:val="NER-RC-Para"/>
      </w:pPr>
      <w:r>
        <w:rPr>
          <w:b/>
        </w:rPr>
        <w:t>regulatory year</w:t>
      </w:r>
      <w:r>
        <w:t xml:space="preserve"> means each consecutive period of 12 calendar months in the </w:t>
      </w:r>
      <w:r>
        <w:t>current regulatory control period</w:t>
      </w:r>
      <w:r>
        <w:t xml:space="preserve"> or </w:t>
      </w:r>
      <w:r>
        <w:t>subsequent regulatory control period</w:t>
      </w:r>
      <w:r>
        <w:t xml:space="preserve"> (as the case may be) (the </w:t>
      </w:r>
      <w:r>
        <w:t>current regulatory control period</w:t>
      </w:r>
      <w:r>
        <w:t xml:space="preserve"> and </w:t>
      </w:r>
      <w:r>
        <w:t>subsequent regulatory control period</w:t>
      </w:r>
      <w:r>
        <w:t xml:space="preserve"> each being a </w:t>
      </w:r>
      <w:r>
        <w:rPr>
          <w:b/>
        </w:rPr>
        <w:t>regulatory control period</w:t>
      </w:r>
      <w:r>
        <w:t xml:space="preserve">), the first such 12 month period commencing at the beginning of the </w:t>
      </w:r>
      <w:r>
        <w:t>regulatory control period</w:t>
      </w:r>
      <w:r>
        <w:t xml:space="preserve"> and the final 12 month period ending at the end of the </w:t>
      </w:r>
      <w:r>
        <w:t>regulatory control period</w:t>
      </w:r>
      <w:r>
        <w:t>.</w:t>
      </w:r>
    </w:p>
    <w:p>
      <w:pPr>
        <w:pStyle w:val="NER-RC-Para"/>
      </w:pPr>
      <w:r>
        <w:rPr>
          <w:b/>
        </w:rPr>
        <w:t>remade 2015 determination</w:t>
      </w:r>
      <w:r>
        <w:t xml:space="preserve"> means the </w:t>
      </w:r>
      <w:r>
        <w:t>2015 determination</w:t>
      </w:r>
      <w:r>
        <w:t xml:space="preserve"> as remade by the </w:t>
      </w:r>
      <w:r>
        <w:rPr>
          <w:i/>
        </w:rPr>
        <w:t>AER</w:t>
      </w:r>
      <w:r>
        <w:t xml:space="preserve"> following the </w:t>
      </w:r>
      <w:r>
        <w:t>Tribunal's decision</w:t>
      </w:r>
      <w:r>
        <w:t>.</w:t>
      </w:r>
    </w:p>
    <w:p>
      <w:pPr>
        <w:pStyle w:val="NER-RC-Para"/>
      </w:pPr>
      <w:r>
        <w:rPr>
          <w:b/>
        </w:rPr>
        <w:t>revenue recovery principle</w:t>
      </w:r>
      <w:r>
        <w:t xml:space="preserve"> means the principle that </w:t>
      </w:r>
      <w:r>
        <w:t>ActewAGL</w:t>
      </w:r>
      <w:r>
        <w:t xml:space="preserve"> must be given the ability to recover the same, but no more, revenue (in net present value equivalent terms) as it would have recovered if:</w:t>
      </w:r>
    </w:p>
    <w:p>
      <w:pPr>
        <w:pStyle w:val="NER-RC-List-1-MNum"/>
      </w:pPr>
      <w:r>
        <w:t>(a)</w:t>
        <w:tab/>
      </w:r>
      <w:r>
        <w:t xml:space="preserve">the </w:t>
      </w:r>
      <w:r>
        <w:t>remade 2015 determination</w:t>
      </w:r>
      <w:r>
        <w:t xml:space="preserve"> had been in force from the commencement of the </w:t>
      </w:r>
      <w:r>
        <w:t>current regulatory control period</w:t>
      </w:r>
      <w:r>
        <w:t>; and</w:t>
      </w:r>
    </w:p>
    <w:p>
      <w:pPr>
        <w:pStyle w:val="NER-RC-List-1-MNum"/>
      </w:pPr>
      <w:r>
        <w:t>(b)</w:t>
        <w:tab/>
      </w:r>
      <w:r>
        <w:t xml:space="preserve">the formulae giving effect to the control mechanisms specified in the </w:t>
      </w:r>
      <w:r>
        <w:t>remade 2015 determination</w:t>
      </w:r>
      <w:r>
        <w:t xml:space="preserve"> had been applied in each </w:t>
      </w:r>
      <w:r>
        <w:t>regulatory year</w:t>
      </w:r>
      <w:r>
        <w:t xml:space="preserve"> of the </w:t>
      </w:r>
      <w:r>
        <w:t>current regulatory control period</w:t>
      </w:r>
      <w:r>
        <w:t>.</w:t>
      </w:r>
    </w:p>
    <w:p>
      <w:pPr>
        <w:pStyle w:val="NER-RC-Para"/>
      </w:pPr>
      <w:r>
        <w:rPr>
          <w:b/>
        </w:rPr>
        <w:t>scheme</w:t>
      </w:r>
      <w:r>
        <w:t xml:space="preserve"> means any applicable </w:t>
      </w:r>
      <w:r>
        <w:rPr>
          <w:i/>
        </w:rPr>
        <w:t>efficiency benefit sharing scheme</w:t>
      </w:r>
      <w:r>
        <w:t xml:space="preserve">, </w:t>
      </w:r>
      <w:r>
        <w:rPr>
          <w:i/>
        </w:rPr>
        <w:t>capital expenditure sharing scheme</w:t>
      </w:r>
      <w:r>
        <w:t xml:space="preserve">, </w:t>
      </w:r>
      <w:r>
        <w:rPr>
          <w:i/>
        </w:rPr>
        <w:t>service target performance incentive scheme</w:t>
      </w:r>
      <w:r>
        <w:t xml:space="preserve">, </w:t>
      </w:r>
      <w:r>
        <w:rPr>
          <w:i/>
        </w:rPr>
        <w:t>demand management incentive scheme</w:t>
      </w:r>
      <w:r>
        <w:t xml:space="preserve">, </w:t>
      </w:r>
      <w:r>
        <w:rPr>
          <w:i/>
        </w:rPr>
        <w:t>demand management innovation allowance mechanism</w:t>
      </w:r>
      <w:r>
        <w:t xml:space="preserve"> and </w:t>
      </w:r>
      <w:r>
        <w:rPr>
          <w:i/>
        </w:rPr>
        <w:t>small-scale incentive scheme</w:t>
      </w:r>
      <w:r>
        <w:t>.</w:t>
      </w:r>
    </w:p>
    <w:p>
      <w:pPr>
        <w:pStyle w:val="NER-RC-Para"/>
      </w:pPr>
      <w:r>
        <w:rPr>
          <w:b/>
        </w:rPr>
        <w:t>subsequent adjustment amount</w:t>
      </w:r>
      <w:r>
        <w:t xml:space="preserve"> means an amount that:</w:t>
      </w:r>
    </w:p>
    <w:p>
      <w:pPr>
        <w:pStyle w:val="NER-RC-List-1-MNum"/>
      </w:pPr>
      <w:r>
        <w:t>(a)</w:t>
        <w:tab/>
      </w:r>
      <w:r>
        <w:t xml:space="preserve">is equivalent in net present value terms to the </w:t>
      </w:r>
      <w:r>
        <w:t>adjustment amount</w:t>
      </w:r>
      <w:r>
        <w:t xml:space="preserve">, incorporating any adjustments made under clause </w:t>
      </w:r>
      <w:r>
        <w:t>8A.15.4(d)(1)(ii)</w:t>
      </w:r>
      <w:r>
        <w:t xml:space="preserve"> or </w:t>
      </w:r>
      <w:r>
        <w:t>8A.15.4(d)(2)(ii)</w:t>
      </w:r>
      <w:r>
        <w:t xml:space="preserve"> (as the case may be); and</w:t>
      </w:r>
    </w:p>
    <w:p>
      <w:pPr>
        <w:pStyle w:val="NER-RC-List-1-MNum"/>
      </w:pPr>
      <w:r>
        <w:t>(b)</w:t>
        <w:tab/>
      </w:r>
      <w:r>
        <w:t xml:space="preserve">represents a revenue increase (where the </w:t>
      </w:r>
      <w:r>
        <w:t>adjustment amount</w:t>
      </w:r>
      <w:r>
        <w:t xml:space="preserve"> is a negative amount) or a revenue decrease (where the </w:t>
      </w:r>
      <w:r>
        <w:t>adjustment amount</w:t>
      </w:r>
      <w:r>
        <w:t xml:space="preserve"> is a positive amount) to </w:t>
      </w:r>
      <w:r>
        <w:t>ActewAGL</w:t>
      </w:r>
      <w:r>
        <w:t xml:space="preserve">'s </w:t>
      </w:r>
      <w:r>
        <w:rPr>
          <w:i/>
        </w:rPr>
        <w:t>annual revenue requirement</w:t>
      </w:r>
      <w:r>
        <w:t xml:space="preserve"> for the first </w:t>
      </w:r>
      <w:r>
        <w:t>regulatory year</w:t>
      </w:r>
      <w:r>
        <w:t xml:space="preserve"> of the </w:t>
      </w:r>
      <w:r>
        <w:t>subsequent regulatory control period</w:t>
      </w:r>
      <w:r>
        <w:t>.</w:t>
      </w:r>
    </w:p>
    <w:p>
      <w:pPr>
        <w:pStyle w:val="NER-RC-Para"/>
      </w:pPr>
      <w:r>
        <w:rPr>
          <w:b/>
        </w:rPr>
        <w:t>subsequent distribution determination</w:t>
      </w:r>
      <w:r>
        <w:t xml:space="preserve"> means the distribution determination for </w:t>
      </w:r>
      <w:r>
        <w:t>ActewAGL</w:t>
      </w:r>
      <w:r>
        <w:t xml:space="preserve"> that is made by the </w:t>
      </w:r>
      <w:r>
        <w:rPr>
          <w:i/>
        </w:rPr>
        <w:t>AER</w:t>
      </w:r>
      <w:r>
        <w:t xml:space="preserve"> for the </w:t>
      </w:r>
      <w:r>
        <w:t>subsequent regulatory control period</w:t>
      </w:r>
      <w:r>
        <w:t>.</w:t>
      </w:r>
    </w:p>
    <w:p>
      <w:pPr>
        <w:pStyle w:val="NER-RC-Para"/>
      </w:pPr>
      <w:r>
        <w:rPr>
          <w:b/>
        </w:rPr>
        <w:t>subsequent regulatory control period</w:t>
      </w:r>
      <w:r>
        <w:t xml:space="preserve"> means the </w:t>
      </w:r>
      <w:r>
        <w:rPr>
          <w:i/>
        </w:rPr>
        <w:t>regulatory control period</w:t>
      </w:r>
      <w:r>
        <w:t xml:space="preserve"> for </w:t>
      </w:r>
      <w:r>
        <w:t>ActewAGL</w:t>
      </w:r>
      <w:r>
        <w:t xml:space="preserve"> that immediately follows the </w:t>
      </w:r>
      <w:r>
        <w:t>current regulatory control period</w:t>
      </w:r>
      <w:r>
        <w:t>.</w:t>
      </w:r>
    </w:p>
    <w:p>
      <w:pPr>
        <w:pStyle w:val="NER-RC-Para"/>
      </w:pPr>
      <w:r>
        <w:rPr>
          <w:b/>
        </w:rPr>
        <w:t>substituted total revenue amount</w:t>
      </w:r>
      <w:r>
        <w:t xml:space="preserve"> has the meaning given in </w:t>
      </w:r>
      <w:r>
        <w:t>clause 8A.15.4(d)</w:t>
      </w:r>
      <w:r>
        <w:t>.</w:t>
      </w:r>
    </w:p>
    <w:p>
      <w:pPr>
        <w:pStyle w:val="NER-RC-Para"/>
      </w:pPr>
      <w:r>
        <w:rPr>
          <w:b/>
        </w:rPr>
        <w:t>total revenue</w:t>
      </w:r>
      <w:r>
        <w:t xml:space="preserve"> means the </w:t>
      </w:r>
      <w:r>
        <w:t>total revenue</w:t>
      </w:r>
      <w:r>
        <w:t xml:space="preserve"> that </w:t>
      </w:r>
      <w:r>
        <w:t>ActewAGL</w:t>
      </w:r>
      <w:r>
        <w:t xml:space="preserve"> is entitled to earn from the provision of </w:t>
      </w:r>
      <w:r>
        <w:t>distribution standard control services</w:t>
      </w:r>
      <w:r>
        <w:t xml:space="preserve">, </w:t>
      </w:r>
      <w:r>
        <w:rPr>
          <w:i/>
        </w:rPr>
        <w:t>transmission standard control services</w:t>
      </w:r>
      <w:r>
        <w:t xml:space="preserve"> or </w:t>
      </w:r>
      <w:r>
        <w:t>metering services</w:t>
      </w:r>
      <w:r>
        <w:t xml:space="preserve"> (as the case may be) for the relevant </w:t>
      </w:r>
      <w:r>
        <w:t>regulatory year</w:t>
      </w:r>
      <w:r>
        <w:t>.</w:t>
      </w:r>
    </w:p>
    <w:p>
      <w:pPr>
        <w:pStyle w:val="NER-RC-Para"/>
      </w:pPr>
      <w:r>
        <w:rPr>
          <w:b/>
        </w:rPr>
        <w:t>transmission variation amount</w:t>
      </w:r>
      <w:r>
        <w:t xml:space="preserve"> means an amount equal to:</w:t>
      </w:r>
    </w:p>
    <w:p>
      <w:pPr>
        <w:pStyle w:val="NER-RC-List-1-MNum"/>
      </w:pPr>
      <w:r>
        <w:t>(a)</w:t>
        <w:tab/>
      </w:r>
      <w:r>
        <w:t xml:space="preserve">the sum of the </w:t>
      </w:r>
      <w:r>
        <w:t>total revenue</w:t>
      </w:r>
      <w:r>
        <w:t xml:space="preserve"> for</w:t>
      </w:r>
      <w:r>
        <w:rPr>
          <w:i/>
        </w:rPr>
        <w:t xml:space="preserve"> transmission standard control services</w:t>
      </w:r>
      <w:r>
        <w:t xml:space="preserve"> for </w:t>
      </w:r>
      <w:r>
        <w:t>ActewAGL</w:t>
      </w:r>
      <w:r>
        <w:t xml:space="preserve"> for each </w:t>
      </w:r>
      <w:r>
        <w:t>regulatory year</w:t>
      </w:r>
      <w:r>
        <w:t xml:space="preserve"> of the </w:t>
      </w:r>
      <w:r>
        <w:t>current regulatory control period</w:t>
      </w:r>
      <w:r>
        <w:t xml:space="preserve"> in accordance with:</w:t>
      </w:r>
    </w:p>
    <w:p>
      <w:pPr>
        <w:pStyle w:val="NER-RC-List-2-MNum"/>
      </w:pPr>
      <w:r>
        <w:t>(1)</w:t>
        <w:tab/>
      </w:r>
      <w:r>
        <w:t>the formulae that give effect to the applicable control mechanism; and</w:t>
      </w:r>
    </w:p>
    <w:p>
      <w:pPr>
        <w:pStyle w:val="NER-RC-List-2-MNum"/>
      </w:pPr>
      <w:r>
        <w:t>(2)</w:t>
        <w:tab/>
      </w:r>
      <w:r>
        <w:t xml:space="preserve">the applicable </w:t>
      </w:r>
      <w:r>
        <w:rPr>
          <w:i/>
        </w:rPr>
        <w:t>annual revenue requirement</w:t>
      </w:r>
      <w:r>
        <w:t>,</w:t>
      </w:r>
    </w:p>
    <w:p>
      <w:pPr>
        <w:pStyle w:val="NER-RC-Text-In-1"/>
      </w:pPr>
      <w:r>
        <w:t xml:space="preserve">under the </w:t>
      </w:r>
      <w:r>
        <w:t>remade 2015 determination</w:t>
      </w:r>
      <w:r>
        <w:t>; minus</w:t>
      </w:r>
    </w:p>
    <w:p>
      <w:pPr>
        <w:pStyle w:val="NER-RC-List-1-MNum"/>
      </w:pPr>
      <w:r>
        <w:t>(b)</w:t>
        <w:tab/>
      </w:r>
      <w:r>
        <w:t xml:space="preserve">the sum of the </w:t>
      </w:r>
      <w:r>
        <w:t>total revenue</w:t>
      </w:r>
      <w:r>
        <w:t xml:space="preserve"> for </w:t>
      </w:r>
      <w:r>
        <w:rPr>
          <w:i/>
        </w:rPr>
        <w:t>transmission standard control services</w:t>
      </w:r>
      <w:r>
        <w:t xml:space="preserve"> for </w:t>
      </w:r>
      <w:r>
        <w:t>ActewAGL</w:t>
      </w:r>
      <w:r>
        <w:t xml:space="preserve"> for each </w:t>
      </w:r>
      <w:r>
        <w:t>regulatory year</w:t>
      </w:r>
      <w:r>
        <w:t xml:space="preserve"> of the </w:t>
      </w:r>
      <w:r>
        <w:t>current regulatory control period</w:t>
      </w:r>
      <w:r>
        <w:t xml:space="preserve"> in accordance with:</w:t>
      </w:r>
    </w:p>
    <w:p>
      <w:pPr>
        <w:pStyle w:val="NER-RC-List-2-MNum"/>
      </w:pPr>
      <w:r>
        <w:t>(1)</w:t>
        <w:tab/>
      </w:r>
      <w:r>
        <w:t>the formulae that give effect to the applicable control mechanism; and</w:t>
      </w:r>
    </w:p>
    <w:p>
      <w:pPr>
        <w:pStyle w:val="NER-RC-List-2-MNum"/>
      </w:pPr>
      <w:r>
        <w:t>(2)</w:t>
        <w:tab/>
      </w:r>
      <w:r>
        <w:t xml:space="preserve">the applicable </w:t>
      </w:r>
      <w:r>
        <w:rPr>
          <w:i/>
        </w:rPr>
        <w:t>annual revenue requirement</w:t>
      </w:r>
      <w:r>
        <w:t>,</w:t>
      </w:r>
    </w:p>
    <w:p>
      <w:pPr>
        <w:pStyle w:val="NER-RC-Text-In-1"/>
      </w:pPr>
      <w:r>
        <w:t xml:space="preserve">under the </w:t>
      </w:r>
      <w:r>
        <w:t>2015 determination</w:t>
      </w:r>
      <w:r>
        <w:t>,</w:t>
      </w:r>
    </w:p>
    <w:p>
      <w:pPr>
        <w:pStyle w:val="NER-RC-Para"/>
      </w:pPr>
      <w:r>
        <w:t xml:space="preserve">provided that such amount includes any adjustments necessary for the </w:t>
      </w:r>
      <w:r>
        <w:rPr>
          <w:i/>
        </w:rPr>
        <w:t>AER</w:t>
      </w:r>
      <w:r>
        <w:t xml:space="preserve"> to be satisfied that the amount achieves the </w:t>
      </w:r>
      <w:r>
        <w:t>revenue recovery principle</w:t>
      </w:r>
      <w:r>
        <w:t xml:space="preserve"> under clause </w:t>
      </w:r>
      <w:r>
        <w:t>8A.15.5(d)</w:t>
      </w:r>
      <w:r>
        <w:t xml:space="preserve"> or </w:t>
      </w:r>
      <w:r>
        <w:t>8A.15.6(d)</w:t>
      </w:r>
      <w:r>
        <w:t xml:space="preserve"> (as the case may be).</w:t>
      </w:r>
    </w:p>
    <w:p>
      <w:pPr>
        <w:pStyle w:val="NER-RC-Para"/>
      </w:pPr>
      <w:r>
        <w:rPr>
          <w:b/>
        </w:rPr>
        <w:t>Tribunal</w:t>
      </w:r>
      <w:r>
        <w:t xml:space="preserve"> means the Australian Competition </w:t>
      </w:r>
      <w:r>
        <w:t>Tribunal</w:t>
      </w:r>
      <w:r>
        <w:t>.</w:t>
      </w:r>
    </w:p>
    <w:p>
      <w:pPr>
        <w:pStyle w:val="NER-RC-Para"/>
      </w:pPr>
      <w:r>
        <w:rPr>
          <w:b/>
        </w:rPr>
        <w:t>Tribunal's decision</w:t>
      </w:r>
      <w:r>
        <w:t xml:space="preserve"> means the decision of the </w:t>
      </w:r>
      <w:r>
        <w:t>Tribunal</w:t>
      </w:r>
      <w:r>
        <w:t xml:space="preserve"> in relation to the </w:t>
      </w:r>
      <w:r>
        <w:t>2015 determination</w:t>
      </w:r>
      <w:r>
        <w:t xml:space="preserve"> delivered on 26 February 2016 to remit the matter back to the </w:t>
      </w:r>
      <w:r>
        <w:rPr>
          <w:i/>
        </w:rPr>
        <w:t>AER</w:t>
      </w:r>
      <w:r>
        <w:t xml:space="preserve"> pursuant to section 71P(2)(c) of the </w:t>
      </w:r>
      <w:r>
        <w:rPr>
          <w:i/>
        </w:rPr>
        <w:t>National Electricity Law</w:t>
      </w:r>
      <w:r>
        <w:t>, as varied as a consequence of the outcome of judicial review of that decision.</w:t>
      </w:r>
    </w:p>
    <w:p>
      <w:pPr>
        <w:pStyle w:val="NER-RC-Para"/>
      </w:pPr>
      <w:r>
        <w:rPr>
          <w:b/>
        </w:rPr>
        <w:t>undertaking</w:t>
      </w:r>
      <w:r>
        <w:t xml:space="preserve"> means an </w:t>
      </w:r>
      <w:r>
        <w:t>undertaking</w:t>
      </w:r>
      <w:r>
        <w:t xml:space="preserve"> given to, and accepted by, the </w:t>
      </w:r>
      <w:r>
        <w:rPr>
          <w:i/>
        </w:rPr>
        <w:t>AER</w:t>
      </w:r>
      <w:r>
        <w:t xml:space="preserve"> under section 59A of the </w:t>
      </w:r>
      <w:r>
        <w:rPr>
          <w:i/>
        </w:rPr>
        <w:t>National Electricity Law</w:t>
      </w:r>
      <w:r>
        <w:t xml:space="preserve"> in respect of the revenue earned and/or prices charged by </w:t>
      </w:r>
      <w:r>
        <w:t>ActewAGL</w:t>
      </w:r>
      <w:r>
        <w:t xml:space="preserve"> for the relevant </w:t>
      </w:r>
      <w:r>
        <w:t>regulatory year</w:t>
      </w:r>
      <w:r>
        <w:t>.</w:t>
      </w:r>
    </w:p>
    <w:p>
      <w:pPr>
        <w:pStyle w:val="NER-Cl-Title-Lvl-4"/>
      </w:pPr>
      <w:bookmarkStart w:id="33" w:name="_Toc256001043"/>
      <w:r>
        <w:t>8A.15.2</w:t>
        <w:tab/>
      </w:r>
      <w:r>
        <w:t>Expiry date</w:t>
      </w:r>
      <w:bookmarkEnd w:id="33"/>
    </w:p>
    <w:p>
      <w:pPr>
        <w:pStyle w:val="NER-RC-Para"/>
      </w:pPr>
      <w:r>
        <w:t xml:space="preserve">This </w:t>
      </w:r>
      <w:r>
        <w:rPr>
          <w:i/>
        </w:rPr>
        <w:t>participant derogation</w:t>
      </w:r>
      <w:r>
        <w:t xml:space="preserve"> expires on the date that immediately follows the end of the </w:t>
      </w:r>
      <w:r>
        <w:t>subsequent regulatory control period</w:t>
      </w:r>
      <w:r>
        <w:t>.</w:t>
      </w:r>
    </w:p>
    <w:p>
      <w:pPr>
        <w:pStyle w:val="NER-Cl-Title-Lvl-4"/>
      </w:pPr>
      <w:bookmarkStart w:id="34" w:name="_Toc256001044"/>
      <w:r>
        <w:t>8A.15.3</w:t>
        <w:tab/>
      </w:r>
      <w:r>
        <w:t>Application of Rule 8A.15</w:t>
      </w:r>
      <w:bookmarkEnd w:id="34"/>
    </w:p>
    <w:p>
      <w:pPr>
        <w:pStyle w:val="NER-RC-List-1-MNum"/>
      </w:pPr>
      <w:r>
        <w:t>(a)</w:t>
        <w:tab/>
      </w:r>
      <w:r>
        <w:t xml:space="preserve">This </w:t>
      </w:r>
      <w:r>
        <w:rPr>
          <w:i/>
        </w:rPr>
        <w:t>participant derogation</w:t>
      </w:r>
      <w:r>
        <w:t xml:space="preserve"> prevails to the extent of any inconsistency with:</w:t>
      </w:r>
    </w:p>
    <w:p>
      <w:pPr>
        <w:pStyle w:val="NER-RC-List-2-MNum"/>
      </w:pPr>
      <w:r>
        <w:t>(1)</w:t>
        <w:tab/>
      </w:r>
      <w:r>
        <w:t xml:space="preserve">any other provision of the </w:t>
      </w:r>
      <w:r>
        <w:rPr>
          <w:i/>
        </w:rPr>
        <w:t>Rules</w:t>
      </w:r>
      <w:r>
        <w:t>; and</w:t>
      </w:r>
    </w:p>
    <w:p>
      <w:pPr>
        <w:pStyle w:val="NER-RC-List-2-MNum"/>
      </w:pPr>
      <w:r>
        <w:t>(2)</w:t>
        <w:tab/>
      </w:r>
      <w:r>
        <w:t xml:space="preserve">a </w:t>
      </w:r>
      <w:r>
        <w:t>remade 2015 determination</w:t>
      </w:r>
      <w:r>
        <w:t>.</w:t>
      </w:r>
    </w:p>
    <w:p>
      <w:pPr>
        <w:pStyle w:val="NER-RC-List-1-MNum"/>
      </w:pPr>
      <w:r>
        <w:t>(b)</w:t>
        <w:tab/>
      </w:r>
      <w:r>
        <w:t xml:space="preserve">Nothing in this </w:t>
      </w:r>
      <w:r>
        <w:rPr>
          <w:i/>
        </w:rPr>
        <w:t>participant derogation</w:t>
      </w:r>
      <w:r>
        <w:t xml:space="preserve"> has the effect of:</w:t>
      </w:r>
    </w:p>
    <w:p>
      <w:pPr>
        <w:pStyle w:val="NER-RC-List-2-MNum"/>
      </w:pPr>
      <w:r>
        <w:t>(1)</w:t>
        <w:tab/>
      </w:r>
      <w:r>
        <w:t xml:space="preserve">changing the application of the </w:t>
      </w:r>
      <w:r>
        <w:rPr>
          <w:i/>
        </w:rPr>
        <w:t>Rules</w:t>
      </w:r>
      <w:r>
        <w:t xml:space="preserve"> to the making of a </w:t>
      </w:r>
      <w:r>
        <w:t>remade 2015 determination</w:t>
      </w:r>
      <w:r>
        <w:t>; or</w:t>
      </w:r>
    </w:p>
    <w:p>
      <w:pPr>
        <w:pStyle w:val="NER-RC-List-2-MNum"/>
      </w:pPr>
      <w:r>
        <w:t>(2)</w:t>
        <w:tab/>
      </w:r>
      <w:r>
        <w:t xml:space="preserve">rendering a change, in whole or in part, to the terms of a distribution determination that applies in respect of the </w:t>
      </w:r>
      <w:r>
        <w:t>current regulatory control period</w:t>
      </w:r>
      <w:r>
        <w:t>.</w:t>
      </w:r>
    </w:p>
    <w:p>
      <w:pPr>
        <w:pStyle w:val="NER-Cl-Title-Lvl-4"/>
      </w:pPr>
      <w:bookmarkStart w:id="35" w:name="_Toc256001045"/>
      <w:r>
        <w:t>8A.15.4</w:t>
        <w:tab/>
      </w:r>
      <w:r>
        <w:t>Recovery of revenue across the current regulatory control period and subsequent regulatory control period</w:t>
      </w:r>
      <w:bookmarkEnd w:id="35"/>
    </w:p>
    <w:p>
      <w:pPr>
        <w:pStyle w:val="NER-Item-group-Title"/>
      </w:pPr>
      <w:r>
        <w:t>General</w:t>
      </w:r>
    </w:p>
    <w:p>
      <w:pPr>
        <w:pStyle w:val="NER-RC-List-1-MNum"/>
      </w:pPr>
      <w:r>
        <w:t>(a)</w:t>
        <w:tab/>
      </w:r>
      <w:r>
        <w:t xml:space="preserve">This clause 8A.15.4 applies in respect of </w:t>
      </w:r>
      <w:r>
        <w:t>ActewAGL</w:t>
      </w:r>
      <w:r>
        <w:t xml:space="preserve"> if a </w:t>
      </w:r>
      <w:r>
        <w:t>remade 2015 determination</w:t>
      </w:r>
      <w:r>
        <w:t xml:space="preserve"> is made by the </w:t>
      </w:r>
      <w:r>
        <w:rPr>
          <w:i/>
        </w:rPr>
        <w:t>AER</w:t>
      </w:r>
      <w:r>
        <w:t xml:space="preserve"> prior to 1 March 2018.</w:t>
      </w:r>
    </w:p>
    <w:p>
      <w:pPr>
        <w:pStyle w:val="NER-Item-group-Title"/>
      </w:pPr>
      <w:r>
        <w:t>Adjustment determination</w:t>
      </w:r>
    </w:p>
    <w:p>
      <w:pPr>
        <w:pStyle w:val="NER-RC-List-1-MNum"/>
      </w:pPr>
      <w:r>
        <w:t>(b)</w:t>
        <w:tab/>
      </w:r>
      <w:r>
        <w:t xml:space="preserve">The </w:t>
      </w:r>
      <w:r>
        <w:rPr>
          <w:i/>
        </w:rPr>
        <w:t>AER</w:t>
      </w:r>
      <w:r>
        <w:t xml:space="preserve"> may determine at the time of making the </w:t>
      </w:r>
      <w:r>
        <w:t>remade 2015 determination</w:t>
      </w:r>
      <w:r>
        <w:t xml:space="preserve"> for </w:t>
      </w:r>
      <w:r>
        <w:t>ActewAGL</w:t>
      </w:r>
      <w:r>
        <w:t>:</w:t>
      </w:r>
    </w:p>
    <w:p>
      <w:pPr>
        <w:pStyle w:val="NER-RC-List-2-MNum"/>
      </w:pPr>
      <w:r>
        <w:t>(1)</w:t>
        <w:tab/>
      </w:r>
      <w:r>
        <w:t xml:space="preserve">an </w:t>
      </w:r>
      <w:r>
        <w:t>adjustment amount</w:t>
      </w:r>
      <w:r>
        <w:t>; and</w:t>
      </w:r>
    </w:p>
    <w:p>
      <w:pPr>
        <w:pStyle w:val="NER-RC-List-2-MNum"/>
      </w:pPr>
      <w:r>
        <w:t>(2)</w:t>
        <w:tab/>
      </w:r>
      <w:r>
        <w:t xml:space="preserve">a </w:t>
      </w:r>
      <w:r>
        <w:t>subsequent adjustment amount</w:t>
      </w:r>
      <w:r>
        <w:t>,</w:t>
      </w:r>
    </w:p>
    <w:p>
      <w:pPr>
        <w:pStyle w:val="NER-RC-Text-In-1"/>
      </w:pPr>
      <w:r>
        <w:t xml:space="preserve">if the </w:t>
      </w:r>
      <w:r>
        <w:rPr>
          <w:i/>
        </w:rPr>
        <w:t>AER</w:t>
      </w:r>
      <w:r>
        <w:t xml:space="preserve"> is satisfied that the application of the </w:t>
      </w:r>
      <w:r>
        <w:t>adjustment amount</w:t>
      </w:r>
      <w:r>
        <w:t xml:space="preserve"> and </w:t>
      </w:r>
      <w:r>
        <w:t>subsequent adjustment amount</w:t>
      </w:r>
      <w:r>
        <w:t xml:space="preserve"> under paragraphs (d) and (e), respectively, would:</w:t>
      </w:r>
    </w:p>
    <w:p>
      <w:pPr>
        <w:pStyle w:val="NER-RC-List-2-MNum"/>
      </w:pPr>
      <w:r>
        <w:t>(3)</w:t>
        <w:tab/>
      </w:r>
      <w:r>
        <w:t xml:space="preserve">be reasonably likely to minimise variations in </w:t>
      </w:r>
      <w:r>
        <w:t>NUOS charges</w:t>
      </w:r>
      <w:r>
        <w:t>:</w:t>
      </w:r>
    </w:p>
    <w:p>
      <w:pPr>
        <w:pStyle w:val="NER-RC-List-3-MNum"/>
      </w:pPr>
      <w:r>
        <w:t>(i)</w:t>
        <w:tab/>
      </w:r>
      <w:r>
        <w:t xml:space="preserve">between the fourth and final regulatory years of the </w:t>
      </w:r>
      <w:r>
        <w:t>current regulatory control period</w:t>
      </w:r>
      <w:r>
        <w:t>; and</w:t>
      </w:r>
    </w:p>
    <w:p>
      <w:pPr>
        <w:pStyle w:val="NER-RC-List-3-MNum"/>
      </w:pPr>
      <w:r>
        <w:t>(ii)</w:t>
        <w:tab/>
      </w:r>
      <w:r>
        <w:t xml:space="preserve">between the final </w:t>
      </w:r>
      <w:r>
        <w:t>regulatory year</w:t>
      </w:r>
      <w:r>
        <w:t xml:space="preserve"> of the </w:t>
      </w:r>
      <w:r>
        <w:t>current regulatory control period</w:t>
      </w:r>
      <w:r>
        <w:t xml:space="preserve"> and the first </w:t>
      </w:r>
      <w:r>
        <w:t>regulatory year</w:t>
      </w:r>
      <w:r>
        <w:t xml:space="preserve"> of the </w:t>
      </w:r>
      <w:r>
        <w:t>subsequent regulatory control period</w:t>
      </w:r>
      <w:r>
        <w:t>,</w:t>
      </w:r>
    </w:p>
    <w:p>
      <w:pPr>
        <w:pStyle w:val="NER-RC-Text-In-2"/>
      </w:pPr>
      <w:r>
        <w:t xml:space="preserve">for </w:t>
      </w:r>
      <w:r>
        <w:t>ActewAGL</w:t>
      </w:r>
      <w:r>
        <w:t>; and</w:t>
      </w:r>
    </w:p>
    <w:p>
      <w:pPr>
        <w:pStyle w:val="NER-RC-List-2-MNum"/>
      </w:pPr>
      <w:r>
        <w:t>(4)</w:t>
        <w:tab/>
      </w:r>
      <w:r>
        <w:t xml:space="preserve">achieve the </w:t>
      </w:r>
      <w:r>
        <w:t>revenue recovery principle</w:t>
      </w:r>
      <w:r>
        <w:t xml:space="preserve"> in respect of </w:t>
      </w:r>
      <w:r>
        <w:t>ActewAGL</w:t>
      </w:r>
      <w:r>
        <w:t>.</w:t>
      </w:r>
    </w:p>
    <w:p>
      <w:pPr>
        <w:pStyle w:val="NER-Explain-Title-UNum-In-1"/>
      </w:pPr>
      <w:r>
        <w:t>Note:</w:t>
      </w:r>
    </w:p>
    <w:p>
      <w:pPr>
        <w:pStyle w:val="NER-Explain-Para-In-1"/>
      </w:pPr>
      <w:r>
        <w:t xml:space="preserve">When determining the </w:t>
      </w:r>
      <w:r>
        <w:t>adjustment amount</w:t>
      </w:r>
      <w:r>
        <w:t xml:space="preserve"> and </w:t>
      </w:r>
      <w:r>
        <w:t>subsequent adjustment amount</w:t>
      </w:r>
      <w:r>
        <w:t xml:space="preserve">, the </w:t>
      </w:r>
      <w:r>
        <w:rPr>
          <w:i/>
        </w:rPr>
        <w:t xml:space="preserve">AER </w:t>
      </w:r>
      <w:r>
        <w:t xml:space="preserve">must also take into account the </w:t>
      </w:r>
      <w:r>
        <w:rPr>
          <w:i/>
        </w:rPr>
        <w:t>national electricity objective</w:t>
      </w:r>
      <w:r>
        <w:t xml:space="preserve"> and may take into account the revenue and pricing principles: see </w:t>
      </w:r>
      <w:r>
        <w:rPr>
          <w:i/>
        </w:rPr>
        <w:t>NEL</w:t>
      </w:r>
      <w:r>
        <w:t>, s.16(1)(a) and (2)(b).</w:t>
      </w:r>
    </w:p>
    <w:p>
      <w:pPr>
        <w:pStyle w:val="NER-RC-List-1-MNum"/>
      </w:pPr>
      <w:r>
        <w:t>(c)</w:t>
        <w:tab/>
      </w:r>
      <w:r>
        <w:t xml:space="preserve">Paragraphs (d) and (e) do not apply in respect of </w:t>
      </w:r>
      <w:r>
        <w:t>ActewAGL</w:t>
      </w:r>
      <w:r>
        <w:t xml:space="preserve"> if the </w:t>
      </w:r>
      <w:r>
        <w:rPr>
          <w:i/>
        </w:rPr>
        <w:t>AER</w:t>
      </w:r>
      <w:r>
        <w:t xml:space="preserve"> has not determined an </w:t>
      </w:r>
      <w:r>
        <w:t>adjustment amount</w:t>
      </w:r>
      <w:r>
        <w:t xml:space="preserve"> and </w:t>
      </w:r>
      <w:r>
        <w:t>subsequent adjustment amount</w:t>
      </w:r>
      <w:r>
        <w:t xml:space="preserve"> under paragraph (b).</w:t>
      </w:r>
    </w:p>
    <w:p>
      <w:pPr>
        <w:pStyle w:val="NER-Item-group-Title"/>
      </w:pPr>
      <w:r>
        <w:t>Recovery in current regulatory control period</w:t>
      </w:r>
    </w:p>
    <w:p>
      <w:pPr>
        <w:pStyle w:val="NER-RC-List-1-MNum"/>
      </w:pPr>
      <w:r>
        <w:t>(d)</w:t>
        <w:tab/>
      </w:r>
      <w:r>
        <w:t xml:space="preserve">A </w:t>
      </w:r>
      <w:r>
        <w:rPr>
          <w:i/>
        </w:rPr>
        <w:t>pricing proposal</w:t>
      </w:r>
      <w:r>
        <w:t xml:space="preserve"> submitted by </w:t>
      </w:r>
      <w:r>
        <w:t>ActewAGL</w:t>
      </w:r>
      <w:r>
        <w:t xml:space="preserve">, and approved by the </w:t>
      </w:r>
      <w:r>
        <w:rPr>
          <w:i/>
        </w:rPr>
        <w:t>AER</w:t>
      </w:r>
      <w:r>
        <w:t xml:space="preserve">, for the final </w:t>
      </w:r>
      <w:r>
        <w:t>regulatory year</w:t>
      </w:r>
      <w:r>
        <w:t xml:space="preserve"> of the </w:t>
      </w:r>
      <w:r>
        <w:t>current regulatory control period</w:t>
      </w:r>
      <w:r>
        <w:t xml:space="preserve"> must, in respect of revenue for </w:t>
      </w:r>
      <w:r>
        <w:t>distribution standard control services</w:t>
      </w:r>
      <w:r>
        <w:t>, only provide for the recovery of:</w:t>
      </w:r>
    </w:p>
    <w:p>
      <w:pPr>
        <w:pStyle w:val="NER-RC-List-2-MNum"/>
      </w:pPr>
      <w:r>
        <w:t>(1)</w:t>
        <w:tab/>
      </w:r>
      <w:r>
        <w:t xml:space="preserve">where the applicable </w:t>
      </w:r>
      <w:r>
        <w:t>adjustment amount</w:t>
      </w:r>
      <w:r>
        <w:t xml:space="preserve"> operates as if it were a revenue increase:</w:t>
      </w:r>
    </w:p>
    <w:p>
      <w:pPr>
        <w:pStyle w:val="NER-RC-List-3-MNum"/>
      </w:pPr>
      <w:r>
        <w:t>(i)</w:t>
        <w:tab/>
      </w:r>
      <w:r>
        <w:t>ActewAGL</w:t>
      </w:r>
      <w:r>
        <w:t xml:space="preserve">'s </w:t>
      </w:r>
      <w:r>
        <w:t>total revenue</w:t>
      </w:r>
      <w:r>
        <w:t xml:space="preserve"> for </w:t>
      </w:r>
      <w:r>
        <w:t>distribution standard control services</w:t>
      </w:r>
      <w:r>
        <w:t xml:space="preserve"> in accordance with the formulae that give effect to the applicable control mechanism, the applicable forecast demand (kWh) and the applicable </w:t>
      </w:r>
      <w:r>
        <w:rPr>
          <w:i/>
        </w:rPr>
        <w:t>annual revenue requirement</w:t>
      </w:r>
      <w:r>
        <w:t xml:space="preserve">, under the </w:t>
      </w:r>
      <w:r>
        <w:t>remade 2015 determination</w:t>
      </w:r>
      <w:r>
        <w:t>; plus</w:t>
      </w:r>
    </w:p>
    <w:p>
      <w:pPr>
        <w:pStyle w:val="NER-RC-List-3-MNum"/>
      </w:pPr>
      <w:r>
        <w:t>(ii)</w:t>
        <w:tab/>
      </w:r>
      <w:r>
        <w:t xml:space="preserve">the </w:t>
      </w:r>
      <w:r>
        <w:t>adjustment amount</w:t>
      </w:r>
      <w:r>
        <w:t xml:space="preserve">, incorporating any adjustments that the </w:t>
      </w:r>
      <w:r>
        <w:rPr>
          <w:i/>
        </w:rPr>
        <w:t>AER</w:t>
      </w:r>
      <w:r>
        <w:t xml:space="preserve"> considers necessary to achieve the </w:t>
      </w:r>
      <w:r>
        <w:t>revenue recovery principle</w:t>
      </w:r>
      <w:r>
        <w:t xml:space="preserve"> in accordance with subparagraph (b)(4); or</w:t>
      </w:r>
    </w:p>
    <w:p>
      <w:pPr>
        <w:pStyle w:val="NER-RC-List-2-MNum"/>
      </w:pPr>
      <w:r>
        <w:t>(2)</w:t>
        <w:tab/>
      </w:r>
      <w:r>
        <w:t xml:space="preserve">where the applicable </w:t>
      </w:r>
      <w:r>
        <w:t>adjustment amount</w:t>
      </w:r>
      <w:r>
        <w:t xml:space="preserve"> operates as if it were a revenue decrease:</w:t>
      </w:r>
    </w:p>
    <w:p>
      <w:pPr>
        <w:pStyle w:val="NER-RC-List-3-MNum"/>
      </w:pPr>
      <w:r>
        <w:t>(i)</w:t>
        <w:tab/>
      </w:r>
      <w:r>
        <w:t>ActewAGL</w:t>
      </w:r>
      <w:r>
        <w:t xml:space="preserve">'s </w:t>
      </w:r>
      <w:r>
        <w:t>total revenue</w:t>
      </w:r>
      <w:r>
        <w:t xml:space="preserve"> for </w:t>
      </w:r>
      <w:r>
        <w:t>distribution standard control services</w:t>
      </w:r>
      <w:r>
        <w:t xml:space="preserve"> in accordance with the formulae that give effect to the applicable control mechanism, the applicable forecast demand (kWh) and the applicable </w:t>
      </w:r>
      <w:r>
        <w:rPr>
          <w:i/>
        </w:rPr>
        <w:t>annual revenue requirement</w:t>
      </w:r>
      <w:r>
        <w:t xml:space="preserve">, under the </w:t>
      </w:r>
      <w:r>
        <w:t>remade 2015 determination</w:t>
      </w:r>
      <w:r>
        <w:t>; minus</w:t>
      </w:r>
    </w:p>
    <w:p>
      <w:pPr>
        <w:pStyle w:val="NER-RC-List-3-MNum"/>
      </w:pPr>
      <w:r>
        <w:t>(ii)</w:t>
        <w:tab/>
      </w:r>
      <w:r>
        <w:t xml:space="preserve">the </w:t>
      </w:r>
      <w:r>
        <w:t>adjustment amount</w:t>
      </w:r>
      <w:r>
        <w:t xml:space="preserve">, incorporating any adjustments that the </w:t>
      </w:r>
      <w:r>
        <w:rPr>
          <w:i/>
        </w:rPr>
        <w:t>AER</w:t>
      </w:r>
      <w:r>
        <w:t xml:space="preserve"> considers necessary to achieve the </w:t>
      </w:r>
      <w:r>
        <w:t>revenue recovery principle</w:t>
      </w:r>
      <w:r>
        <w:t xml:space="preserve"> in accordance with subparagraph (b)(4),</w:t>
      </w:r>
    </w:p>
    <w:p>
      <w:pPr>
        <w:pStyle w:val="NER-RC-Text-In-1"/>
      </w:pPr>
      <w:r>
        <w:t xml:space="preserve">(such amount being the </w:t>
      </w:r>
      <w:r>
        <w:rPr>
          <w:b/>
        </w:rPr>
        <w:t>substituted total revenue amount</w:t>
      </w:r>
      <w:r>
        <w:t>).</w:t>
      </w:r>
    </w:p>
    <w:p>
      <w:pPr>
        <w:pStyle w:val="NER-Item-group-Title"/>
      </w:pPr>
      <w:r>
        <w:t>Recovery in subsequent regulatory control period</w:t>
      </w:r>
    </w:p>
    <w:p>
      <w:pPr>
        <w:pStyle w:val="NER-RC-List-1-MNum"/>
      </w:pPr>
      <w:r>
        <w:t>(e)</w:t>
        <w:tab/>
      </w:r>
      <w:r>
        <w:t xml:space="preserve">The </w:t>
      </w:r>
      <w:r>
        <w:rPr>
          <w:i/>
        </w:rPr>
        <w:t>AER</w:t>
      </w:r>
      <w:r>
        <w:t xml:space="preserve"> must include the </w:t>
      </w:r>
      <w:r>
        <w:t>subsequent adjustment amount</w:t>
      </w:r>
      <w:r>
        <w:t xml:space="preserve"> determined under paragraph (b) as:</w:t>
      </w:r>
    </w:p>
    <w:p>
      <w:pPr>
        <w:pStyle w:val="NER-RC-List-2-MNum"/>
      </w:pPr>
      <w:r>
        <w:t>(1)</w:t>
        <w:tab/>
      </w:r>
      <w:r>
        <w:t>if subparagraph (d)(1) applies, a revenue decrease; or</w:t>
      </w:r>
    </w:p>
    <w:p>
      <w:pPr>
        <w:pStyle w:val="NER-RC-List-2-MNum"/>
      </w:pPr>
      <w:r>
        <w:t>(2)</w:t>
        <w:tab/>
      </w:r>
      <w:r>
        <w:t>if subparagraph (d)(2) applies, a revenue increase,</w:t>
      </w:r>
    </w:p>
    <w:p>
      <w:pPr>
        <w:pStyle w:val="NER-RC-Text-In-1"/>
      </w:pPr>
      <w:r>
        <w:t xml:space="preserve">to </w:t>
      </w:r>
      <w:r>
        <w:t>ActewAGL</w:t>
      </w:r>
      <w:r>
        <w:t xml:space="preserve">'s </w:t>
      </w:r>
      <w:r>
        <w:rPr>
          <w:i/>
        </w:rPr>
        <w:t>annual revenue requirement</w:t>
      </w:r>
      <w:r>
        <w:t xml:space="preserve"> determined under </w:t>
      </w:r>
      <w:r>
        <w:t>rule 6.4</w:t>
      </w:r>
      <w:r>
        <w:t xml:space="preserve"> for the first </w:t>
      </w:r>
      <w:r>
        <w:t>regulatory year</w:t>
      </w:r>
      <w:r>
        <w:t xml:space="preserve"> of the </w:t>
      </w:r>
      <w:r>
        <w:t>subsequent regulatory control period</w:t>
      </w:r>
      <w:r>
        <w:t>.</w:t>
      </w:r>
    </w:p>
    <w:p>
      <w:pPr>
        <w:pStyle w:val="NER-RC-List-1-MNum"/>
      </w:pPr>
      <w:r>
        <w:t>(f)</w:t>
        <w:tab/>
      </w:r>
      <w:r>
        <w:t xml:space="preserve">Any </w:t>
      </w:r>
      <w:r>
        <w:t>subsequent adjustment amount</w:t>
      </w:r>
      <w:r>
        <w:t xml:space="preserve"> included as a revenue increase or revenue decrease under paragraph (e) must not be considered by the </w:t>
      </w:r>
      <w:r>
        <w:rPr>
          <w:i/>
        </w:rPr>
        <w:t>AER</w:t>
      </w:r>
      <w:r>
        <w:t xml:space="preserve"> when determining whether any amount is payable or recoverable by </w:t>
      </w:r>
      <w:r>
        <w:t>ActewAGL</w:t>
      </w:r>
      <w:r>
        <w:t xml:space="preserve"> under any </w:t>
      </w:r>
      <w:r>
        <w:t>scheme</w:t>
      </w:r>
      <w:r>
        <w:t xml:space="preserve"> that applies to it in respect of the </w:t>
      </w:r>
      <w:r>
        <w:t>subsequent regulatory control period</w:t>
      </w:r>
      <w:r>
        <w:t>.</w:t>
      </w:r>
    </w:p>
    <w:p>
      <w:pPr>
        <w:pStyle w:val="NER-Cl-Title-Lvl-4"/>
      </w:pPr>
      <w:bookmarkStart w:id="36" w:name="_Toc256001046"/>
      <w:r>
        <w:t>8A.15.5</w:t>
        <w:tab/>
      </w:r>
      <w:r>
        <w:t>Recovery of revenue in subsequent regulatory control period only and no reopening of subsequent distribution determination required</w:t>
      </w:r>
      <w:bookmarkEnd w:id="36"/>
    </w:p>
    <w:p>
      <w:pPr>
        <w:pStyle w:val="NER-Item-group-Title"/>
      </w:pPr>
      <w:r>
        <w:t>General</w:t>
      </w:r>
    </w:p>
    <w:p>
      <w:pPr>
        <w:pStyle w:val="NER-RC-List-1-MNum"/>
      </w:pPr>
      <w:r>
        <w:t>(a)</w:t>
        <w:tab/>
      </w:r>
      <w:r>
        <w:t xml:space="preserve">This clause 8A.15.5 applies in respect of </w:t>
      </w:r>
      <w:r>
        <w:t>ActewAGL</w:t>
      </w:r>
      <w:r>
        <w:t xml:space="preserve"> if a </w:t>
      </w:r>
      <w:r>
        <w:t>remade 2015 determination</w:t>
      </w:r>
      <w:r>
        <w:t xml:space="preserve"> is made by the </w:t>
      </w:r>
      <w:r>
        <w:rPr>
          <w:i/>
        </w:rPr>
        <w:t>AER</w:t>
      </w:r>
      <w:r>
        <w:t xml:space="preserve"> on or after 1 March 2018, but prior to 1 May 2019.</w:t>
      </w:r>
    </w:p>
    <w:p>
      <w:pPr>
        <w:pStyle w:val="NER-Item-group-Title"/>
      </w:pPr>
      <w:r>
        <w:t>Adjustment determination</w:t>
      </w:r>
    </w:p>
    <w:p>
      <w:pPr>
        <w:pStyle w:val="NER-RC-List-1-MNum"/>
      </w:pPr>
      <w:r>
        <w:t>(b)</w:t>
        <w:tab/>
      </w:r>
      <w:r>
        <w:t xml:space="preserve">If paragraph (a) applies, the </w:t>
      </w:r>
      <w:r>
        <w:rPr>
          <w:i/>
        </w:rPr>
        <w:t>AER</w:t>
      </w:r>
      <w:r>
        <w:t xml:space="preserve"> must determine at the time of making the </w:t>
      </w:r>
      <w:r>
        <w:t>remade 2015 determination</w:t>
      </w:r>
      <w:r>
        <w:t>:</w:t>
      </w:r>
    </w:p>
    <w:p>
      <w:pPr>
        <w:pStyle w:val="NER-RC-List-2-MNum"/>
      </w:pPr>
      <w:r>
        <w:t>(1)</w:t>
        <w:tab/>
      </w:r>
      <w:r>
        <w:t xml:space="preserve">the </w:t>
      </w:r>
      <w:r>
        <w:t>distribution variation amount</w:t>
      </w:r>
      <w:r>
        <w:t>;</w:t>
      </w:r>
    </w:p>
    <w:p>
      <w:pPr>
        <w:pStyle w:val="NER-RC-List-2-MNum"/>
      </w:pPr>
      <w:r>
        <w:t>(2)</w:t>
        <w:tab/>
      </w:r>
      <w:r>
        <w:t xml:space="preserve">the </w:t>
      </w:r>
      <w:r>
        <w:t>transmission variation amount</w:t>
      </w:r>
      <w:r>
        <w:t>; and</w:t>
      </w:r>
    </w:p>
    <w:p>
      <w:pPr>
        <w:pStyle w:val="NER-RC-List-2-MNum"/>
      </w:pPr>
      <w:r>
        <w:t>(3)</w:t>
        <w:tab/>
      </w:r>
      <w:r>
        <w:t xml:space="preserve">the </w:t>
      </w:r>
      <w:r>
        <w:t>metering variation amount</w:t>
      </w:r>
      <w:r>
        <w:t>,</w:t>
      </w:r>
    </w:p>
    <w:p>
      <w:pPr>
        <w:pStyle w:val="NER-RC-Text-In-1"/>
      </w:pPr>
      <w:r>
        <w:t xml:space="preserve">for </w:t>
      </w:r>
      <w:r>
        <w:t>ActewAGL</w:t>
      </w:r>
      <w:r>
        <w:t>.</w:t>
      </w:r>
    </w:p>
    <w:p>
      <w:pPr>
        <w:pStyle w:val="NER-Item-group-Title"/>
      </w:pPr>
      <w:r>
        <w:t>Recovery in subsequent regulatory control period</w:t>
      </w:r>
    </w:p>
    <w:p>
      <w:pPr>
        <w:pStyle w:val="NER-RC-List-1-MNum"/>
      </w:pPr>
      <w:r>
        <w:t>(c)</w:t>
        <w:tab/>
      </w:r>
      <w:r>
        <w:t xml:space="preserve">The </w:t>
      </w:r>
      <w:r>
        <w:rPr>
          <w:i/>
        </w:rPr>
        <w:t>AER</w:t>
      </w:r>
      <w:r>
        <w:t xml:space="preserve"> must include an amount equivalent in net present value terms to:</w:t>
      </w:r>
    </w:p>
    <w:p>
      <w:pPr>
        <w:pStyle w:val="NER-RC-List-2-MNum"/>
      </w:pPr>
      <w:r>
        <w:t>(1)</w:t>
        <w:tab/>
      </w:r>
      <w:r>
        <w:t xml:space="preserve">the </w:t>
      </w:r>
      <w:r>
        <w:t>distribution variation amount</w:t>
      </w:r>
      <w:r>
        <w:t>;</w:t>
      </w:r>
    </w:p>
    <w:p>
      <w:pPr>
        <w:pStyle w:val="NER-RC-List-2-MNum"/>
      </w:pPr>
      <w:r>
        <w:t>(2)</w:t>
        <w:tab/>
      </w:r>
      <w:r>
        <w:t xml:space="preserve">the </w:t>
      </w:r>
      <w:r>
        <w:t>transmission variation amount</w:t>
      </w:r>
      <w:r>
        <w:t>; and</w:t>
      </w:r>
    </w:p>
    <w:p>
      <w:pPr>
        <w:pStyle w:val="NER-RC-List-2-MNum"/>
      </w:pPr>
      <w:r>
        <w:t>(3)</w:t>
        <w:tab/>
      </w:r>
      <w:r>
        <w:t xml:space="preserve">the </w:t>
      </w:r>
      <w:r>
        <w:t>metering variation amount</w:t>
      </w:r>
      <w:r>
        <w:t>,</w:t>
      </w:r>
    </w:p>
    <w:p>
      <w:pPr>
        <w:pStyle w:val="NER-RC-Text-In-1"/>
      </w:pPr>
      <w:r>
        <w:t>determined under paragraph (b) as:</w:t>
      </w:r>
    </w:p>
    <w:p>
      <w:pPr>
        <w:pStyle w:val="NER-RC-List-2-MNum"/>
      </w:pPr>
      <w:r>
        <w:t>(4)</w:t>
        <w:tab/>
      </w:r>
      <w:r>
        <w:t xml:space="preserve">if the applicable </w:t>
      </w:r>
      <w:r>
        <w:t>distribution variation amount</w:t>
      </w:r>
      <w:r>
        <w:t xml:space="preserve">, </w:t>
      </w:r>
      <w:r>
        <w:t>transmission variation amount</w:t>
      </w:r>
      <w:r>
        <w:t xml:space="preserve"> or </w:t>
      </w:r>
      <w:r>
        <w:t>metering variation amount</w:t>
      </w:r>
      <w:r>
        <w:t xml:space="preserve"> (as the case may be) is a positive amount, a revenue increase; or</w:t>
      </w:r>
    </w:p>
    <w:p>
      <w:pPr>
        <w:pStyle w:val="NER-RC-List-2-MNum"/>
      </w:pPr>
      <w:r>
        <w:t>(5)</w:t>
        <w:tab/>
      </w:r>
      <w:r>
        <w:t xml:space="preserve">if the applicable </w:t>
      </w:r>
      <w:r>
        <w:t>distribution variation amount</w:t>
      </w:r>
      <w:r>
        <w:t xml:space="preserve">, </w:t>
      </w:r>
      <w:r>
        <w:t>transmission variation amount</w:t>
      </w:r>
      <w:r>
        <w:t xml:space="preserve"> or </w:t>
      </w:r>
      <w:r>
        <w:t>metering variation amount</w:t>
      </w:r>
      <w:r>
        <w:t xml:space="preserve"> (as the case may be) is a negative amount, a revenue decrease; or</w:t>
      </w:r>
    </w:p>
    <w:p>
      <w:pPr>
        <w:pStyle w:val="NER-RC-List-2-MNum"/>
      </w:pPr>
      <w:r>
        <w:t>(6)</w:t>
        <w:tab/>
      </w:r>
      <w:r>
        <w:t xml:space="preserve">if the applicable </w:t>
      </w:r>
      <w:r>
        <w:t>distribution variation amount</w:t>
      </w:r>
      <w:r>
        <w:t xml:space="preserve">, </w:t>
      </w:r>
      <w:r>
        <w:t>transmission variation amount</w:t>
      </w:r>
      <w:r>
        <w:t xml:space="preserve"> or </w:t>
      </w:r>
      <w:r>
        <w:t>metering variation amount</w:t>
      </w:r>
      <w:r>
        <w:t xml:space="preserve"> (as the case may be) is zero, no adjustment,</w:t>
      </w:r>
    </w:p>
    <w:p>
      <w:pPr>
        <w:pStyle w:val="NER-RC-Text-In-1"/>
      </w:pPr>
      <w:r>
        <w:t xml:space="preserve">to </w:t>
      </w:r>
      <w:r>
        <w:t>ActewAGL</w:t>
      </w:r>
      <w:r>
        <w:t>'s:</w:t>
      </w:r>
    </w:p>
    <w:p>
      <w:pPr>
        <w:pStyle w:val="NER-RC-List-2-MNum"/>
      </w:pPr>
      <w:r>
        <w:t>(7)</w:t>
        <w:tab/>
      </w:r>
      <w:r>
        <w:t xml:space="preserve">in the case of the </w:t>
      </w:r>
      <w:r>
        <w:t>distribution variation amount</w:t>
      </w:r>
      <w:r>
        <w:t xml:space="preserve"> and </w:t>
      </w:r>
      <w:r>
        <w:t>transmission variation amount</w:t>
      </w:r>
      <w:r>
        <w:t xml:space="preserve">, </w:t>
      </w:r>
      <w:r>
        <w:rPr>
          <w:i/>
        </w:rPr>
        <w:t>annual revenue requirement</w:t>
      </w:r>
      <w:r>
        <w:t xml:space="preserve"> determined under </w:t>
      </w:r>
      <w:r>
        <w:t>rule 6.4</w:t>
      </w:r>
      <w:r>
        <w:t>; and</w:t>
      </w:r>
    </w:p>
    <w:p>
      <w:pPr>
        <w:pStyle w:val="NER-RC-List-2-MNum"/>
      </w:pPr>
      <w:r>
        <w:t>(8)</w:t>
        <w:tab/>
      </w:r>
      <w:r>
        <w:t xml:space="preserve">in the case of the </w:t>
      </w:r>
      <w:r>
        <w:t>metering variation amount</w:t>
      </w:r>
      <w:r>
        <w:t>, applicable building block revenue requirement,</w:t>
      </w:r>
    </w:p>
    <w:p>
      <w:pPr>
        <w:pStyle w:val="NER-RC-Text-In-1"/>
      </w:pPr>
      <w:r>
        <w:t xml:space="preserve">for the first </w:t>
      </w:r>
      <w:r>
        <w:t>regulatory year</w:t>
      </w:r>
      <w:r>
        <w:t xml:space="preserve"> of the </w:t>
      </w:r>
      <w:r>
        <w:t>subsequent regulatory control period</w:t>
      </w:r>
      <w:r>
        <w:t>.</w:t>
      </w:r>
    </w:p>
    <w:p>
      <w:pPr>
        <w:pStyle w:val="NER-RC-List-1-MNum"/>
      </w:pPr>
      <w:r>
        <w:t>(d)</w:t>
        <w:tab/>
      </w:r>
      <w:r>
        <w:t xml:space="preserve">When making an </w:t>
      </w:r>
      <w:r>
        <w:t>adjustment determination</w:t>
      </w:r>
      <w:r>
        <w:t xml:space="preserve"> under this clause 8A.15.5, the </w:t>
      </w:r>
      <w:r>
        <w:rPr>
          <w:i/>
        </w:rPr>
        <w:t>AER</w:t>
      </w:r>
      <w:r>
        <w:t xml:space="preserve"> must be satisfied that the application of the </w:t>
      </w:r>
      <w:r>
        <w:t>distribution variation amount</w:t>
      </w:r>
      <w:r>
        <w:t xml:space="preserve">, </w:t>
      </w:r>
      <w:r>
        <w:t>transmission variation amount</w:t>
      </w:r>
      <w:r>
        <w:t xml:space="preserve"> and </w:t>
      </w:r>
      <w:r>
        <w:t>metering variation amount</w:t>
      </w:r>
      <w:r>
        <w:t xml:space="preserve"> under paragraph (c) achieves the </w:t>
      </w:r>
      <w:r>
        <w:t>revenue recovery principle</w:t>
      </w:r>
      <w:r>
        <w:t xml:space="preserve"> in respect of </w:t>
      </w:r>
      <w:r>
        <w:t>ActewAGL</w:t>
      </w:r>
      <w:r>
        <w:t>.</w:t>
      </w:r>
    </w:p>
    <w:p>
      <w:pPr>
        <w:pStyle w:val="NER-RC-List-1-MNum"/>
      </w:pPr>
      <w:r>
        <w:t>(e)</w:t>
        <w:tab/>
      </w:r>
      <w:r>
        <w:t xml:space="preserve">A </w:t>
      </w:r>
      <w:r>
        <w:t>distribution variation amount</w:t>
      </w:r>
      <w:r>
        <w:t xml:space="preserve">, </w:t>
      </w:r>
      <w:r>
        <w:t>transmission variation amount</w:t>
      </w:r>
      <w:r>
        <w:t xml:space="preserve"> or </w:t>
      </w:r>
      <w:r>
        <w:t>metering variation amount</w:t>
      </w:r>
      <w:r>
        <w:t xml:space="preserve"> included as a revenue increase or revenue decrease under paragraph (c), must not be considered by the </w:t>
      </w:r>
      <w:r>
        <w:rPr>
          <w:i/>
        </w:rPr>
        <w:t>AER</w:t>
      </w:r>
      <w:r>
        <w:t xml:space="preserve"> when determining whether any amount is payable or recoverable by </w:t>
      </w:r>
      <w:r>
        <w:t>ActewAGL</w:t>
      </w:r>
      <w:r>
        <w:t xml:space="preserve"> under any </w:t>
      </w:r>
      <w:r>
        <w:t>scheme</w:t>
      </w:r>
      <w:r>
        <w:t xml:space="preserve"> that applies to it in respect of the </w:t>
      </w:r>
      <w:r>
        <w:t>subsequent regulatory control period</w:t>
      </w:r>
      <w:r>
        <w:t>.</w:t>
      </w:r>
    </w:p>
    <w:p>
      <w:pPr>
        <w:pStyle w:val="NER-Cl-Title-Lvl-4"/>
      </w:pPr>
      <w:bookmarkStart w:id="37" w:name="_Toc256001047"/>
      <w:r>
        <w:t>8A.15.6</w:t>
        <w:tab/>
      </w:r>
      <w:r>
        <w:t>Recovery of revenue in subsequent regulatory control period only and reopening of distribution determination is required</w:t>
      </w:r>
      <w:bookmarkEnd w:id="37"/>
    </w:p>
    <w:p>
      <w:pPr>
        <w:pStyle w:val="NER-Item-group-Title"/>
      </w:pPr>
      <w:r>
        <w:t>General</w:t>
      </w:r>
    </w:p>
    <w:p>
      <w:pPr>
        <w:pStyle w:val="NER-RC-List-1-MNum"/>
      </w:pPr>
      <w:r>
        <w:t>(a)</w:t>
        <w:tab/>
      </w:r>
      <w:r>
        <w:t xml:space="preserve">This clause 8A.15.6 applies in respect of </w:t>
      </w:r>
      <w:r>
        <w:t>ActewAGL</w:t>
      </w:r>
      <w:r>
        <w:t xml:space="preserve"> if a </w:t>
      </w:r>
      <w:r>
        <w:t>remade 2015 determination</w:t>
      </w:r>
      <w:r>
        <w:t xml:space="preserve"> is made by the </w:t>
      </w:r>
      <w:r>
        <w:rPr>
          <w:i/>
        </w:rPr>
        <w:t>AER</w:t>
      </w:r>
      <w:r>
        <w:t xml:space="preserve"> on or after 1 May 2019, but prior to 1 December of the fourth last </w:t>
      </w:r>
      <w:r>
        <w:t>regulatory year</w:t>
      </w:r>
      <w:r>
        <w:t xml:space="preserve"> of the </w:t>
      </w:r>
      <w:r>
        <w:t>subsequent regulatory control period</w:t>
      </w:r>
      <w:r>
        <w:t>.</w:t>
      </w:r>
    </w:p>
    <w:p>
      <w:pPr>
        <w:pStyle w:val="NER-Item-group-Title"/>
      </w:pPr>
      <w:r>
        <w:t>Adjustment determination</w:t>
      </w:r>
    </w:p>
    <w:p>
      <w:pPr>
        <w:pStyle w:val="NER-RC-List-1-MNum"/>
      </w:pPr>
      <w:r>
        <w:t>(b)</w:t>
        <w:tab/>
      </w:r>
      <w:r>
        <w:t xml:space="preserve">If paragraph (a) applies, the </w:t>
      </w:r>
      <w:r>
        <w:rPr>
          <w:i/>
        </w:rPr>
        <w:t>AER</w:t>
      </w:r>
      <w:r>
        <w:t xml:space="preserve"> must determine at the time of making the </w:t>
      </w:r>
      <w:r>
        <w:t>remade 2015 determination</w:t>
      </w:r>
      <w:r>
        <w:t>:</w:t>
      </w:r>
    </w:p>
    <w:p>
      <w:pPr>
        <w:pStyle w:val="NER-RC-List-2-MNum"/>
      </w:pPr>
      <w:r>
        <w:t>(1)</w:t>
        <w:tab/>
      </w:r>
      <w:r>
        <w:t xml:space="preserve">the </w:t>
      </w:r>
      <w:r>
        <w:t>distribution variation amount</w:t>
      </w:r>
      <w:r>
        <w:t>;</w:t>
      </w:r>
    </w:p>
    <w:p>
      <w:pPr>
        <w:pStyle w:val="NER-RC-List-2-MNum"/>
      </w:pPr>
      <w:r>
        <w:t>(2)</w:t>
        <w:tab/>
      </w:r>
      <w:r>
        <w:t xml:space="preserve">the </w:t>
      </w:r>
      <w:r>
        <w:t>transmission variation amount</w:t>
      </w:r>
      <w:r>
        <w:t>; and</w:t>
      </w:r>
    </w:p>
    <w:p>
      <w:pPr>
        <w:pStyle w:val="NER-RC-List-2-MNum"/>
      </w:pPr>
      <w:r>
        <w:t>(3)</w:t>
        <w:tab/>
      </w:r>
      <w:r>
        <w:t xml:space="preserve">the </w:t>
      </w:r>
      <w:r>
        <w:t>metering variation amount</w:t>
      </w:r>
      <w:r>
        <w:t>,</w:t>
      </w:r>
    </w:p>
    <w:p>
      <w:pPr>
        <w:pStyle w:val="NER-RC-Text-In-1"/>
      </w:pPr>
      <w:r>
        <w:t xml:space="preserve">for </w:t>
      </w:r>
      <w:r>
        <w:t>ActewAGL</w:t>
      </w:r>
      <w:r>
        <w:t>.</w:t>
      </w:r>
    </w:p>
    <w:p>
      <w:pPr>
        <w:pStyle w:val="NER-Item-group-Title"/>
      </w:pPr>
      <w:r>
        <w:t>Recovery in subsequent regulatory control period</w:t>
      </w:r>
    </w:p>
    <w:p>
      <w:pPr>
        <w:pStyle w:val="NER-RC-List-1-MNum"/>
      </w:pPr>
      <w:r>
        <w:t>(c)</w:t>
        <w:tab/>
      </w:r>
      <w:r>
        <w:t xml:space="preserve">If paragraph (a) applies, the </w:t>
      </w:r>
      <w:r>
        <w:rPr>
          <w:i/>
        </w:rPr>
        <w:t xml:space="preserve">AER </w:t>
      </w:r>
      <w:r>
        <w:t xml:space="preserve">must revoke </w:t>
      </w:r>
      <w:r>
        <w:t>ActewAGL</w:t>
      </w:r>
      <w:r>
        <w:t xml:space="preserve">'s </w:t>
      </w:r>
      <w:r>
        <w:t>subsequent distribution determination</w:t>
      </w:r>
      <w:r>
        <w:t xml:space="preserve"> and make a new distribution determination in substitution for that revoked determination, that:</w:t>
      </w:r>
    </w:p>
    <w:p>
      <w:pPr>
        <w:pStyle w:val="NER-RC-List-2-MNum"/>
      </w:pPr>
      <w:r>
        <w:t>(1)</w:t>
        <w:tab/>
      </w:r>
      <w:r>
        <w:t xml:space="preserve">applies to the remaining regulatory years of the </w:t>
      </w:r>
      <w:r>
        <w:t>subsequent regulatory control period</w:t>
      </w:r>
      <w:r>
        <w:t>; and</w:t>
      </w:r>
    </w:p>
    <w:p>
      <w:pPr>
        <w:pStyle w:val="NER-RC-List-2-MNum"/>
      </w:pPr>
      <w:r>
        <w:t>(2)</w:t>
        <w:tab/>
      </w:r>
      <w:r>
        <w:t>includes an amount equivalent in net present value terms to:</w:t>
      </w:r>
    </w:p>
    <w:p>
      <w:pPr>
        <w:pStyle w:val="NER-RC-List-3-MNum"/>
      </w:pPr>
      <w:r>
        <w:t>(i)</w:t>
        <w:tab/>
      </w:r>
      <w:r>
        <w:t xml:space="preserve">the </w:t>
      </w:r>
      <w:r>
        <w:t>transmission variation amount</w:t>
      </w:r>
      <w:r>
        <w:t>;</w:t>
      </w:r>
    </w:p>
    <w:p>
      <w:pPr>
        <w:pStyle w:val="NER-RC-List-3-MNum"/>
      </w:pPr>
      <w:r>
        <w:t>(ii)</w:t>
        <w:tab/>
      </w:r>
      <w:r>
        <w:t xml:space="preserve">the </w:t>
      </w:r>
      <w:r>
        <w:t>distribution variation amount</w:t>
      </w:r>
      <w:r>
        <w:t>; and</w:t>
      </w:r>
    </w:p>
    <w:p>
      <w:pPr>
        <w:pStyle w:val="NER-RC-List-3-MNum"/>
      </w:pPr>
      <w:r>
        <w:t>(iii)</w:t>
        <w:tab/>
      </w:r>
      <w:r>
        <w:t xml:space="preserve">the </w:t>
      </w:r>
      <w:r>
        <w:t>metering variation amount</w:t>
      </w:r>
      <w:r>
        <w:t>,</w:t>
      </w:r>
    </w:p>
    <w:p>
      <w:pPr>
        <w:pStyle w:val="NER-RC-Text-In-2"/>
      </w:pPr>
      <w:r>
        <w:t xml:space="preserve">determined for </w:t>
      </w:r>
      <w:r>
        <w:t>ActewAGL</w:t>
      </w:r>
      <w:r>
        <w:t xml:space="preserve"> as:</w:t>
      </w:r>
    </w:p>
    <w:p>
      <w:pPr>
        <w:pStyle w:val="NER-RC-List-3-MNum"/>
      </w:pPr>
      <w:r>
        <w:t>(iv)</w:t>
        <w:tab/>
      </w:r>
      <w:r>
        <w:t xml:space="preserve">if the applicable </w:t>
      </w:r>
      <w:r>
        <w:t>distribution variation amount</w:t>
      </w:r>
      <w:r>
        <w:t xml:space="preserve">, </w:t>
      </w:r>
      <w:r>
        <w:t>transmission variation amount</w:t>
      </w:r>
      <w:r>
        <w:t xml:space="preserve"> or </w:t>
      </w:r>
      <w:r>
        <w:t>metering variation amount</w:t>
      </w:r>
      <w:r>
        <w:t xml:space="preserve"> (as the case may be) is a positive amount, a revenue increase; or</w:t>
      </w:r>
    </w:p>
    <w:p>
      <w:pPr>
        <w:pStyle w:val="NER-RC-List-3-MNum"/>
      </w:pPr>
      <w:r>
        <w:t>(v)</w:t>
        <w:tab/>
      </w:r>
      <w:r>
        <w:t xml:space="preserve">if the applicable </w:t>
      </w:r>
      <w:r>
        <w:t>distribution variation amount</w:t>
      </w:r>
      <w:r>
        <w:t xml:space="preserve">, </w:t>
      </w:r>
      <w:r>
        <w:t>transmission variation amount</w:t>
      </w:r>
      <w:r>
        <w:t xml:space="preserve"> or </w:t>
      </w:r>
      <w:r>
        <w:t>metering variation amount</w:t>
      </w:r>
      <w:r>
        <w:t xml:space="preserve"> (as the case may be) is a negative amount, a revenue decrease; or</w:t>
      </w:r>
    </w:p>
    <w:p>
      <w:pPr>
        <w:pStyle w:val="NER-RC-List-3-MNum"/>
      </w:pPr>
      <w:r>
        <w:t>(vi)</w:t>
        <w:tab/>
      </w:r>
      <w:r>
        <w:t xml:space="preserve">if the applicable </w:t>
      </w:r>
      <w:r>
        <w:t>distribution variation amount</w:t>
      </w:r>
      <w:r>
        <w:t xml:space="preserve">, </w:t>
      </w:r>
      <w:r>
        <w:t>transmission variation amount</w:t>
      </w:r>
      <w:r>
        <w:t xml:space="preserve"> or </w:t>
      </w:r>
      <w:r>
        <w:t>metering variation amount</w:t>
      </w:r>
      <w:r>
        <w:t xml:space="preserve"> (as the case may be) is zero, no adjustment,</w:t>
      </w:r>
    </w:p>
    <w:p>
      <w:pPr>
        <w:pStyle w:val="NER-RC-Text-In-2"/>
      </w:pPr>
      <w:r>
        <w:t>to:</w:t>
      </w:r>
    </w:p>
    <w:p>
      <w:pPr>
        <w:pStyle w:val="NER-RC-List-3-MNum"/>
      </w:pPr>
      <w:r>
        <w:t>(vii)</w:t>
        <w:tab/>
      </w:r>
      <w:r>
        <w:t xml:space="preserve">in the case of the </w:t>
      </w:r>
      <w:r>
        <w:t>distribution variation amount</w:t>
      </w:r>
      <w:r>
        <w:t xml:space="preserve"> and </w:t>
      </w:r>
      <w:r>
        <w:t>transmission variation amount</w:t>
      </w:r>
      <w:r>
        <w:t xml:space="preserve">, the </w:t>
      </w:r>
      <w:r>
        <w:rPr>
          <w:i/>
        </w:rPr>
        <w:t>annual revenue requirement</w:t>
      </w:r>
      <w:r>
        <w:t xml:space="preserve"> of one or more of the regulatory years in the remainder of </w:t>
      </w:r>
      <w:r>
        <w:t>ActewAGL</w:t>
      </w:r>
      <w:r>
        <w:t xml:space="preserve">'s </w:t>
      </w:r>
      <w:r>
        <w:t>subsequent regulatory control period</w:t>
      </w:r>
      <w:r>
        <w:t xml:space="preserve">, subject to the sum of all such increases or decreases for the relevant regulatory years being equivalent in net present value terms to the sum of the </w:t>
      </w:r>
      <w:r>
        <w:t>distribution variation amount</w:t>
      </w:r>
      <w:r>
        <w:t xml:space="preserve"> and </w:t>
      </w:r>
      <w:r>
        <w:t>transmission variation amount</w:t>
      </w:r>
      <w:r>
        <w:t>; and</w:t>
      </w:r>
    </w:p>
    <w:p>
      <w:pPr>
        <w:pStyle w:val="NER-RC-List-3-MNum"/>
      </w:pPr>
      <w:r>
        <w:t>(viii)</w:t>
        <w:tab/>
      </w:r>
      <w:r>
        <w:t xml:space="preserve">in the case of the </w:t>
      </w:r>
      <w:r>
        <w:t>metering variation amount</w:t>
      </w:r>
      <w:r>
        <w:t xml:space="preserve">, the applicable building block revenue requirement of one or more of the regulatory years in the remainder of </w:t>
      </w:r>
      <w:r>
        <w:t>ActewAGL</w:t>
      </w:r>
      <w:r>
        <w:t xml:space="preserve">'s </w:t>
      </w:r>
      <w:r>
        <w:t>subsequent regulatory control period</w:t>
      </w:r>
      <w:r>
        <w:t xml:space="preserve">, subject to the sum of all such increases or decreases for the relevant regulatory years being equivalent in net present value terms to the </w:t>
      </w:r>
      <w:r>
        <w:t>metering variation amount</w:t>
      </w:r>
      <w:r>
        <w:t>.</w:t>
      </w:r>
    </w:p>
    <w:p>
      <w:pPr>
        <w:pStyle w:val="NER-RC-List-1-MNum"/>
      </w:pPr>
      <w:r>
        <w:t>(d)</w:t>
        <w:tab/>
      </w:r>
      <w:r>
        <w:t xml:space="preserve">When making an </w:t>
      </w:r>
      <w:r>
        <w:t>adjustment determination</w:t>
      </w:r>
      <w:r>
        <w:t xml:space="preserve"> under this clause 8A.15.6, the </w:t>
      </w:r>
      <w:r>
        <w:rPr>
          <w:i/>
        </w:rPr>
        <w:t>AER</w:t>
      </w:r>
      <w:r>
        <w:t xml:space="preserve"> must be satisfied that the application of the </w:t>
      </w:r>
      <w:r>
        <w:t>distribution variation amount</w:t>
      </w:r>
      <w:r>
        <w:t xml:space="preserve">, </w:t>
      </w:r>
      <w:r>
        <w:t>transmission variation amount</w:t>
      </w:r>
      <w:r>
        <w:t xml:space="preserve"> and </w:t>
      </w:r>
      <w:r>
        <w:t>metering variation amount</w:t>
      </w:r>
      <w:r>
        <w:t xml:space="preserve"> under paragraph (c) achieves the </w:t>
      </w:r>
      <w:r>
        <w:t>revenue recovery principle</w:t>
      </w:r>
      <w:r>
        <w:t xml:space="preserve"> in respect of </w:t>
      </w:r>
      <w:r>
        <w:t>ActewAGL</w:t>
      </w:r>
      <w:r>
        <w:t>.</w:t>
      </w:r>
    </w:p>
    <w:p>
      <w:pPr>
        <w:pStyle w:val="NER-RC-List-1-MNum"/>
      </w:pPr>
      <w:r>
        <w:t>(e)</w:t>
        <w:tab/>
      </w:r>
      <w:r>
        <w:t>The substituted distribution determination made under paragraph (c) must only:</w:t>
      </w:r>
    </w:p>
    <w:p>
      <w:pPr>
        <w:pStyle w:val="NER-RC-List-2-MNum"/>
      </w:pPr>
      <w:r>
        <w:t>(1)</w:t>
        <w:tab/>
      </w:r>
      <w:r>
        <w:t>vary from the revoked distribution determination to the extent necessary to reflect the increase or decrease (as the case may be) to:</w:t>
      </w:r>
    </w:p>
    <w:p>
      <w:pPr>
        <w:pStyle w:val="NER-RC-List-3-MNum"/>
      </w:pPr>
      <w:r>
        <w:t>(i)</w:t>
        <w:tab/>
      </w:r>
      <w:r>
        <w:t xml:space="preserve">in the case of the </w:t>
      </w:r>
      <w:r>
        <w:t>distribution variation amount</w:t>
      </w:r>
      <w:r>
        <w:t xml:space="preserve"> and </w:t>
      </w:r>
      <w:r>
        <w:t>transmission variation amount</w:t>
      </w:r>
      <w:r>
        <w:t xml:space="preserve">, the </w:t>
      </w:r>
      <w:r>
        <w:rPr>
          <w:i/>
        </w:rPr>
        <w:t>annual revenue requirement</w:t>
      </w:r>
      <w:r>
        <w:t>; and</w:t>
      </w:r>
    </w:p>
    <w:p>
      <w:pPr>
        <w:pStyle w:val="NER-RC-List-3-MNum"/>
      </w:pPr>
      <w:r>
        <w:t>(ii)</w:t>
        <w:tab/>
      </w:r>
      <w:r>
        <w:t xml:space="preserve">in the case of the </w:t>
      </w:r>
      <w:r>
        <w:t>metering variation amount</w:t>
      </w:r>
      <w:r>
        <w:t>, the applicable building block revenue requirement,</w:t>
      </w:r>
    </w:p>
    <w:p>
      <w:pPr>
        <w:pStyle w:val="NER-RC-Text-In-2"/>
      </w:pPr>
      <w:r>
        <w:t xml:space="preserve">of one or more of the regulatory years of the </w:t>
      </w:r>
      <w:r>
        <w:t>subsequent regulatory control period</w:t>
      </w:r>
      <w:r>
        <w:t xml:space="preserve"> under paragraph (c); and</w:t>
      </w:r>
    </w:p>
    <w:p>
      <w:pPr>
        <w:pStyle w:val="NER-RC-List-2-MNum"/>
      </w:pPr>
      <w:r>
        <w:t>(2)</w:t>
        <w:tab/>
      </w:r>
      <w:r>
        <w:t xml:space="preserve">be made after the </w:t>
      </w:r>
      <w:r>
        <w:rPr>
          <w:i/>
        </w:rPr>
        <w:t>AER</w:t>
      </w:r>
      <w:r>
        <w:t xml:space="preserve"> has first consulted with </w:t>
      </w:r>
      <w:r>
        <w:t>ActewAGL</w:t>
      </w:r>
      <w:r>
        <w:t xml:space="preserve"> and such other persons as the </w:t>
      </w:r>
      <w:r>
        <w:rPr>
          <w:i/>
        </w:rPr>
        <w:t>AER</w:t>
      </w:r>
      <w:r>
        <w:t xml:space="preserve"> considers appropriate.</w:t>
      </w:r>
    </w:p>
    <w:p>
      <w:pPr>
        <w:pStyle w:val="NER-RC-List-1-MNum"/>
      </w:pPr>
      <w:r>
        <w:t>(f)</w:t>
        <w:tab/>
      </w:r>
      <w:r>
        <w:t xml:space="preserve">If the </w:t>
      </w:r>
      <w:r>
        <w:rPr>
          <w:i/>
        </w:rPr>
        <w:t>AER</w:t>
      </w:r>
      <w:r>
        <w:t xml:space="preserve"> revokes and substitutes the </w:t>
      </w:r>
      <w:r>
        <w:t>subsequent distribution determination</w:t>
      </w:r>
      <w:r>
        <w:t xml:space="preserve"> under paragraph (c), that revocation and substitution must take effect from the commencement of the next </w:t>
      </w:r>
      <w:r>
        <w:t>regulatory year</w:t>
      </w:r>
      <w:r>
        <w:t>.</w:t>
      </w:r>
    </w:p>
    <w:p>
      <w:pPr>
        <w:pStyle w:val="NER-RC-List-1-MNum"/>
      </w:pPr>
      <w:r>
        <w:t>(g)</w:t>
        <w:tab/>
      </w:r>
      <w:r>
        <w:t xml:space="preserve">A </w:t>
      </w:r>
      <w:r>
        <w:t>distribution variation amount</w:t>
      </w:r>
      <w:r>
        <w:t xml:space="preserve">, </w:t>
      </w:r>
      <w:r>
        <w:t>transmission variation amount</w:t>
      </w:r>
      <w:r>
        <w:t xml:space="preserve"> and </w:t>
      </w:r>
      <w:r>
        <w:t>metering variation amount</w:t>
      </w:r>
      <w:r>
        <w:t xml:space="preserve"> included as a revenue increase or revenue decrease under paragraph (c), must not be considered by the </w:t>
      </w:r>
      <w:r>
        <w:rPr>
          <w:i/>
        </w:rPr>
        <w:t>AER</w:t>
      </w:r>
      <w:r>
        <w:t xml:space="preserve"> when determining whether any amount is payable or recoverable by </w:t>
      </w:r>
      <w:r>
        <w:t>ActewAGL</w:t>
      </w:r>
      <w:r>
        <w:t xml:space="preserve"> under any </w:t>
      </w:r>
      <w:r>
        <w:t>scheme</w:t>
      </w:r>
      <w:r>
        <w:t xml:space="preserve"> that applies to it in respect of the </w:t>
      </w:r>
      <w:r>
        <w:t>subsequent regulatory control period</w:t>
      </w:r>
      <w:r>
        <w:t>.</w:t>
      </w:r>
    </w:p>
    <w:p>
      <w:pPr>
        <w:pStyle w:val="NER-Cl-Title-Lvl-4"/>
      </w:pPr>
      <w:bookmarkStart w:id="38" w:name="_Toc256001048"/>
      <w:r>
        <w:t>8A.15.7</w:t>
        <w:tab/>
      </w:r>
      <w:r>
        <w:t>Requirements for adjustment determination</w:t>
      </w:r>
      <w:bookmarkEnd w:id="38"/>
    </w:p>
    <w:p>
      <w:pPr>
        <w:pStyle w:val="NER-RC-Para"/>
      </w:pPr>
      <w:r>
        <w:t xml:space="preserve">The </w:t>
      </w:r>
      <w:r>
        <w:rPr>
          <w:i/>
        </w:rPr>
        <w:t>AER</w:t>
      </w:r>
      <w:r>
        <w:t xml:space="preserve"> must in respect of an </w:t>
      </w:r>
      <w:r>
        <w:t>adjustment determination</w:t>
      </w:r>
      <w:r>
        <w:t xml:space="preserve"> made for </w:t>
      </w:r>
      <w:r>
        <w:t>ActewAGL</w:t>
      </w:r>
      <w:r>
        <w:t>:</w:t>
      </w:r>
    </w:p>
    <w:p>
      <w:pPr>
        <w:pStyle w:val="NER-RC-List-1-MNum"/>
      </w:pPr>
      <w:r>
        <w:t>(a)</w:t>
        <w:tab/>
      </w:r>
      <w:r>
        <w:t xml:space="preserve">make the </w:t>
      </w:r>
      <w:r>
        <w:t>adjustment determination</w:t>
      </w:r>
      <w:r>
        <w:t xml:space="preserve"> after consulting with </w:t>
      </w:r>
      <w:r>
        <w:t>ActewAGL</w:t>
      </w:r>
      <w:r>
        <w:t xml:space="preserve"> and any other persons as the </w:t>
      </w:r>
      <w:r>
        <w:rPr>
          <w:i/>
        </w:rPr>
        <w:t>AER</w:t>
      </w:r>
      <w:r>
        <w:t xml:space="preserve"> considers appropriate;</w:t>
      </w:r>
    </w:p>
    <w:p>
      <w:pPr>
        <w:pStyle w:val="NER-RC-List-1-MNum"/>
      </w:pPr>
      <w:r>
        <w:t>(b)</w:t>
        <w:tab/>
      </w:r>
      <w:r>
        <w:rPr>
          <w:i/>
        </w:rPr>
        <w:t>publish</w:t>
      </w:r>
      <w:r>
        <w:t xml:space="preserve"> its </w:t>
      </w:r>
      <w:r>
        <w:t>adjustment determination</w:t>
      </w:r>
      <w:r>
        <w:t xml:space="preserve"> at the time of publication of the </w:t>
      </w:r>
      <w:r>
        <w:t>remade 2015 determination</w:t>
      </w:r>
      <w:r>
        <w:t>; and</w:t>
      </w:r>
    </w:p>
    <w:p>
      <w:pPr>
        <w:pStyle w:val="NER-RC-List-1-MNum"/>
      </w:pPr>
      <w:r>
        <w:t>(c)</w:t>
        <w:tab/>
      </w:r>
      <w:r>
        <w:t xml:space="preserve">include in its </w:t>
      </w:r>
      <w:r>
        <w:t>adjustment determination</w:t>
      </w:r>
      <w:r>
        <w:t xml:space="preserve">, the reasons for the </w:t>
      </w:r>
      <w:r>
        <w:rPr>
          <w:i/>
        </w:rPr>
        <w:t>AER's</w:t>
      </w:r>
      <w:r>
        <w:t xml:space="preserve"> determination of:</w:t>
      </w:r>
    </w:p>
    <w:p>
      <w:pPr>
        <w:pStyle w:val="NER-RC-List-2-MNum"/>
      </w:pPr>
      <w:r>
        <w:t>(1)</w:t>
        <w:tab/>
      </w:r>
      <w:r>
        <w:t xml:space="preserve">if </w:t>
      </w:r>
      <w:r>
        <w:t>clause 8A.15.4</w:t>
      </w:r>
      <w:r>
        <w:t xml:space="preserve"> applies, the </w:t>
      </w:r>
      <w:r>
        <w:t>adjustment amount</w:t>
      </w:r>
      <w:r>
        <w:t xml:space="preserve"> (including any adjustments made under clause </w:t>
      </w:r>
      <w:r>
        <w:t>8A.15.4(d)(1)(ii)</w:t>
      </w:r>
      <w:r>
        <w:t xml:space="preserve"> or </w:t>
      </w:r>
      <w:r>
        <w:t>8A.15.4(d)(2)(ii)</w:t>
      </w:r>
      <w:r>
        <w:t xml:space="preserve">) and </w:t>
      </w:r>
      <w:r>
        <w:t>subsequent adjustment amount</w:t>
      </w:r>
      <w:r>
        <w:t xml:space="preserve"> or, where the </w:t>
      </w:r>
      <w:r>
        <w:rPr>
          <w:i/>
        </w:rPr>
        <w:t>AER</w:t>
      </w:r>
      <w:r>
        <w:t xml:space="preserve"> has not determined an </w:t>
      </w:r>
      <w:r>
        <w:t>adjustment amount</w:t>
      </w:r>
      <w:r>
        <w:t xml:space="preserve"> and </w:t>
      </w:r>
      <w:r>
        <w:t>subsequent adjustment amount</w:t>
      </w:r>
      <w:r>
        <w:t>, the reasons for that decision; or</w:t>
      </w:r>
    </w:p>
    <w:p>
      <w:pPr>
        <w:pStyle w:val="NER-RC-List-2-MNum"/>
      </w:pPr>
      <w:r>
        <w:t>(2)</w:t>
        <w:tab/>
      </w:r>
      <w:r>
        <w:t xml:space="preserve">if clause </w:t>
      </w:r>
      <w:r>
        <w:t>8A.15.5</w:t>
      </w:r>
      <w:r>
        <w:t xml:space="preserve"> or </w:t>
      </w:r>
      <w:r>
        <w:t>8A.15.6</w:t>
      </w:r>
      <w:r>
        <w:t xml:space="preserve"> applies, the </w:t>
      </w:r>
      <w:r>
        <w:t>distribution variation amount</w:t>
      </w:r>
      <w:r>
        <w:t xml:space="preserve">, </w:t>
      </w:r>
      <w:r>
        <w:t>transmission variation amount</w:t>
      </w:r>
      <w:r>
        <w:t xml:space="preserve"> and </w:t>
      </w:r>
      <w:r>
        <w:t>metering variation amount</w:t>
      </w:r>
      <w:r>
        <w:t>.</w:t>
      </w:r>
    </w:p>
    <w:p>
      <w:pPr>
        <w:pStyle w:val="NER-Cl-Title-Lvl-4"/>
      </w:pPr>
      <w:bookmarkStart w:id="39" w:name="_Toc256001049"/>
      <w:r>
        <w:t>8A.15.8</w:t>
        <w:tab/>
      </w:r>
      <w:r>
        <w:t>Application of Chapter 6 under participant derogation</w:t>
      </w:r>
      <w:bookmarkEnd w:id="39"/>
    </w:p>
    <w:p>
      <w:pPr>
        <w:pStyle w:val="NER-RC-List-1-MNum"/>
      </w:pPr>
      <w:r>
        <w:t>(a)</w:t>
        <w:tab/>
      </w:r>
      <w:r>
        <w:t xml:space="preserve">Except as otherwise specified in this rule 8A.15 or </w:t>
      </w:r>
      <w:r>
        <w:t>Chapter 11</w:t>
      </w:r>
      <w:r>
        <w:t xml:space="preserve">, </w:t>
      </w:r>
      <w:r>
        <w:t>Chapter 6</w:t>
      </w:r>
      <w:r>
        <w:t xml:space="preserve"> applies to:</w:t>
      </w:r>
    </w:p>
    <w:p>
      <w:pPr>
        <w:pStyle w:val="NER-RC-List-2-MNum"/>
      </w:pPr>
      <w:r>
        <w:t>(1)</w:t>
        <w:tab/>
      </w:r>
      <w:r>
        <w:t xml:space="preserve">the remainder of the </w:t>
      </w:r>
      <w:r>
        <w:t>current regulatory control period</w:t>
      </w:r>
      <w:r>
        <w:t>; and</w:t>
      </w:r>
    </w:p>
    <w:p>
      <w:pPr>
        <w:pStyle w:val="NER-RC-List-2-MNum"/>
      </w:pPr>
      <w:r>
        <w:t>(2)</w:t>
        <w:tab/>
      </w:r>
      <w:r>
        <w:t xml:space="preserve">the making of the </w:t>
      </w:r>
      <w:r>
        <w:t>subsequent distribution determination</w:t>
      </w:r>
      <w:r>
        <w:t>,</w:t>
      </w:r>
    </w:p>
    <w:p>
      <w:pPr>
        <w:pStyle w:val="NER-RC-Text-In-1"/>
      </w:pPr>
      <w:r>
        <w:t xml:space="preserve">in respect of </w:t>
      </w:r>
      <w:r>
        <w:t>ActewAGL</w:t>
      </w:r>
      <w:r>
        <w:t>.</w:t>
      </w:r>
    </w:p>
    <w:p>
      <w:pPr>
        <w:pStyle w:val="NER-RC-List-1-MNum"/>
      </w:pPr>
      <w:r>
        <w:t>(b)</w:t>
        <w:tab/>
      </w:r>
      <w:r>
        <w:t xml:space="preserve">If </w:t>
      </w:r>
      <w:r>
        <w:t>clause 8A.15.4</w:t>
      </w:r>
      <w:r>
        <w:t xml:space="preserve"> applies, the reference to 'any applicable distribution determination' in clauses </w:t>
      </w:r>
      <w:r>
        <w:t>6.18.2(b)(7)</w:t>
      </w:r>
      <w:r>
        <w:t xml:space="preserve">, </w:t>
      </w:r>
      <w:r>
        <w:t>6.18.2(b)(8)</w:t>
      </w:r>
      <w:r>
        <w:t xml:space="preserve">, </w:t>
      </w:r>
      <w:r>
        <w:t>6.18.8(a)(1)</w:t>
      </w:r>
      <w:r>
        <w:t xml:space="preserve"> and </w:t>
      </w:r>
      <w:r>
        <w:t>6.18.8(c)</w:t>
      </w:r>
      <w:r>
        <w:t xml:space="preserve"> will be taken to be the applicable distribution determination as supplemented by the requirements for </w:t>
      </w:r>
      <w:r>
        <w:t>ActewAGL</w:t>
      </w:r>
      <w:r>
        <w:t xml:space="preserve">'s </w:t>
      </w:r>
      <w:r>
        <w:rPr>
          <w:i/>
        </w:rPr>
        <w:t>pricing proposal</w:t>
      </w:r>
      <w:r>
        <w:t xml:space="preserve"> under </w:t>
      </w:r>
      <w:r>
        <w:t>clause 8A.15.4(d)</w:t>
      </w:r>
      <w:r>
        <w:t>.</w:t>
      </w:r>
    </w:p>
    <w:p>
      <w:pPr>
        <w:pStyle w:val="NER-RC-List-1-MNum"/>
      </w:pPr>
      <w:r>
        <w:t>(c)</w:t>
        <w:tab/>
      </w:r>
      <w:r>
        <w:t xml:space="preserve">For the purposes of the application of clauses </w:t>
      </w:r>
      <w:r>
        <w:t>8A.15.4</w:t>
      </w:r>
      <w:r>
        <w:t xml:space="preserve">, </w:t>
      </w:r>
      <w:r>
        <w:t>8A.15.5</w:t>
      </w:r>
      <w:r>
        <w:t xml:space="preserve"> and </w:t>
      </w:r>
      <w:r>
        <w:t>8A.15.6</w:t>
      </w:r>
      <w:r>
        <w:t xml:space="preserve"> (as applicable) in respect of </w:t>
      </w:r>
      <w:r>
        <w:t>ActewAGL</w:t>
      </w:r>
      <w:r>
        <w:t xml:space="preserve">, </w:t>
      </w:r>
      <w:r>
        <w:t>Chapter 6</w:t>
      </w:r>
      <w:r>
        <w:t xml:space="preserve"> and 6A are amended for the remainder of the </w:t>
      </w:r>
      <w:r>
        <w:t>current regulatory control period</w:t>
      </w:r>
      <w:r>
        <w:t xml:space="preserve"> and the </w:t>
      </w:r>
      <w:r>
        <w:t>subsequent regulatory control period</w:t>
      </w:r>
      <w:r>
        <w:t xml:space="preserve"> as follows:</w:t>
      </w:r>
    </w:p>
    <w:p>
      <w:pPr>
        <w:pStyle w:val="NER-RC-List-2-MNum"/>
      </w:pPr>
      <w:r>
        <w:t>(1)</w:t>
        <w:tab/>
      </w:r>
      <w:r>
        <w:t xml:space="preserve">the requirement under the </w:t>
      </w:r>
      <w:r>
        <w:rPr>
          <w:i/>
        </w:rPr>
        <w:t>Rules</w:t>
      </w:r>
      <w:r>
        <w:t xml:space="preserve"> for pricing for </w:t>
      </w:r>
      <w:r>
        <w:rPr>
          <w:i/>
        </w:rPr>
        <w:t>direct control services</w:t>
      </w:r>
      <w:r>
        <w:t xml:space="preserve"> in a </w:t>
      </w:r>
      <w:r>
        <w:rPr>
          <w:i/>
        </w:rPr>
        <w:t>pricing proposal</w:t>
      </w:r>
      <w:r>
        <w:t xml:space="preserve"> to comply with the </w:t>
      </w:r>
      <w:r>
        <w:rPr>
          <w:i/>
        </w:rPr>
        <w:t>tariff structure statement</w:t>
      </w:r>
      <w:r>
        <w:t xml:space="preserve"> does not apply to the extent necessary to allow for the submission of a </w:t>
      </w:r>
      <w:r>
        <w:rPr>
          <w:i/>
        </w:rPr>
        <w:t xml:space="preserve">pricing proposal </w:t>
      </w:r>
      <w:r>
        <w:t xml:space="preserve">by </w:t>
      </w:r>
      <w:r>
        <w:t>ActewAGL</w:t>
      </w:r>
      <w:r>
        <w:t xml:space="preserve">, and subsequent approval of such </w:t>
      </w:r>
      <w:r>
        <w:rPr>
          <w:i/>
        </w:rPr>
        <w:t xml:space="preserve">pricing proposal </w:t>
      </w:r>
      <w:r>
        <w:t xml:space="preserve">by the </w:t>
      </w:r>
      <w:r>
        <w:rPr>
          <w:i/>
        </w:rPr>
        <w:t>AER</w:t>
      </w:r>
      <w:r>
        <w:t xml:space="preserve">, in accordance with this </w:t>
      </w:r>
      <w:r>
        <w:rPr>
          <w:i/>
        </w:rPr>
        <w:t>participant derogation</w:t>
      </w:r>
      <w:r>
        <w:t>;</w:t>
      </w:r>
    </w:p>
    <w:p>
      <w:pPr>
        <w:pStyle w:val="NER-RC-List-2-MNum"/>
      </w:pPr>
      <w:r>
        <w:t>(2)</w:t>
        <w:tab/>
      </w:r>
      <w:r>
        <w:t>if any variation in proposed tariffs occurs as a result of:</w:t>
      </w:r>
    </w:p>
    <w:p>
      <w:pPr>
        <w:pStyle w:val="NER-RC-List-3-MNum"/>
      </w:pPr>
      <w:r>
        <w:t>(i)</w:t>
        <w:tab/>
      </w:r>
      <w:r>
        <w:t xml:space="preserve">the </w:t>
      </w:r>
      <w:r>
        <w:t>remade 2015 determination</w:t>
      </w:r>
      <w:r>
        <w:t>; or</w:t>
      </w:r>
    </w:p>
    <w:p>
      <w:pPr>
        <w:pStyle w:val="NER-RC-List-3-MNum"/>
      </w:pPr>
      <w:r>
        <w:t>(ii)</w:t>
        <w:tab/>
      </w:r>
      <w:r>
        <w:t xml:space="preserve">application of this </w:t>
      </w:r>
      <w:r>
        <w:rPr>
          <w:i/>
        </w:rPr>
        <w:t>participant derogation</w:t>
      </w:r>
      <w:r>
        <w:t>,</w:t>
      </w:r>
    </w:p>
    <w:p>
      <w:pPr>
        <w:pStyle w:val="NER-RC-Text-In-2"/>
      </w:pPr>
      <w:r>
        <w:t xml:space="preserve">such variations will be taken to be explained by </w:t>
      </w:r>
      <w:r>
        <w:t>ActewAGL</w:t>
      </w:r>
      <w:r>
        <w:t xml:space="preserve"> for the purposes of clauses </w:t>
      </w:r>
      <w:r>
        <w:t>6.18.2(b)(7A)</w:t>
      </w:r>
      <w:r>
        <w:t xml:space="preserve"> and </w:t>
      </w:r>
      <w:r>
        <w:t>6.18.8(a)(2)</w:t>
      </w:r>
      <w:r>
        <w:t>;</w:t>
      </w:r>
    </w:p>
    <w:p>
      <w:pPr>
        <w:pStyle w:val="NER-RC-List-2-MNum"/>
      </w:pPr>
      <w:r>
        <w:t>(3)</w:t>
        <w:tab/>
      </w:r>
      <w:r>
        <w:t xml:space="preserve">to the extent that </w:t>
      </w:r>
      <w:r>
        <w:t>ActewAGL</w:t>
      </w:r>
      <w:r>
        <w:t xml:space="preserve">'s tariffs vary from tariffs which would result from complying with the pricing principles in </w:t>
      </w:r>
      <w:r>
        <w:t>clause 6.18.5(e)</w:t>
      </w:r>
      <w:r>
        <w:t xml:space="preserve"> to (g) due to the application of this </w:t>
      </w:r>
      <w:r>
        <w:rPr>
          <w:i/>
        </w:rPr>
        <w:t>participant derogation</w:t>
      </w:r>
      <w:r>
        <w:t xml:space="preserve">, such variation is taken to be a variation from the pricing principles permitted under </w:t>
      </w:r>
      <w:r>
        <w:t>clause 6.18.5(c)</w:t>
      </w:r>
      <w:r>
        <w:t>;</w:t>
      </w:r>
    </w:p>
    <w:p>
      <w:pPr>
        <w:pStyle w:val="NER-RC-List-2-MNum"/>
      </w:pPr>
      <w:r>
        <w:t>(4)</w:t>
        <w:tab/>
      </w:r>
      <w:r>
        <w:t xml:space="preserve">to the extent that </w:t>
      </w:r>
      <w:r>
        <w:t>ActewAGL</w:t>
      </w:r>
      <w:r>
        <w:t xml:space="preserve">'s </w:t>
      </w:r>
      <w:r>
        <w:rPr>
          <w:i/>
        </w:rPr>
        <w:t xml:space="preserve">tariff structure statement </w:t>
      </w:r>
      <w:r>
        <w:t xml:space="preserve">varies from a </w:t>
      </w:r>
      <w:r>
        <w:rPr>
          <w:i/>
        </w:rPr>
        <w:t xml:space="preserve">tariff structure statement </w:t>
      </w:r>
      <w:r>
        <w:t>which would result from complying with the</w:t>
      </w:r>
      <w:r>
        <w:rPr>
          <w:i/>
        </w:rPr>
        <w:t xml:space="preserve"> pricing principles for direct control services</w:t>
      </w:r>
      <w:r>
        <w:t xml:space="preserve"> due to the application of this </w:t>
      </w:r>
      <w:r>
        <w:rPr>
          <w:i/>
        </w:rPr>
        <w:t>participant derogation</w:t>
      </w:r>
      <w:r>
        <w:t xml:space="preserve">, such variation is permitted under the </w:t>
      </w:r>
      <w:r>
        <w:rPr>
          <w:i/>
        </w:rPr>
        <w:t>Rules</w:t>
      </w:r>
      <w:r>
        <w:t>;</w:t>
      </w:r>
    </w:p>
    <w:p>
      <w:pPr>
        <w:pStyle w:val="NER-RC-List-2-MNum"/>
      </w:pPr>
      <w:r>
        <w:t>(5)</w:t>
        <w:tab/>
      </w:r>
      <w:r>
        <w:t>clause 6.18.6</w:t>
      </w:r>
      <w:r>
        <w:t xml:space="preserve"> does not apply to the extent that </w:t>
      </w:r>
      <w:r>
        <w:t>ActewAGL</w:t>
      </w:r>
      <w:r>
        <w:t xml:space="preserve">'s tariffs vary from tariffs which would otherwise result from complying with </w:t>
      </w:r>
      <w:r>
        <w:t>clause 6.18.6</w:t>
      </w:r>
      <w:r>
        <w:t xml:space="preserve">, due to the application of this </w:t>
      </w:r>
      <w:r>
        <w:rPr>
          <w:i/>
        </w:rPr>
        <w:t>participant derogation</w:t>
      </w:r>
      <w:r>
        <w:t>;</w:t>
      </w:r>
    </w:p>
    <w:p>
      <w:pPr>
        <w:pStyle w:val="NER-RC-List-2-MNum"/>
      </w:pPr>
      <w:r>
        <w:t>(6)</w:t>
        <w:tab/>
      </w:r>
      <w:r>
        <w:t xml:space="preserve">if the </w:t>
      </w:r>
      <w:r>
        <w:rPr>
          <w:i/>
        </w:rPr>
        <w:t>AER</w:t>
      </w:r>
      <w:r>
        <w:t xml:space="preserve"> amends a </w:t>
      </w:r>
      <w:r>
        <w:rPr>
          <w:i/>
        </w:rPr>
        <w:t>pricing proposal</w:t>
      </w:r>
      <w:r>
        <w:t xml:space="preserve"> under clause </w:t>
      </w:r>
      <w:r>
        <w:t>6.18.8(b)(2)</w:t>
      </w:r>
      <w:r>
        <w:t xml:space="preserve"> or </w:t>
      </w:r>
      <w:r>
        <w:t>6.18.8(c)</w:t>
      </w:r>
      <w:r>
        <w:t xml:space="preserve">, then in addition to the requirements in </w:t>
      </w:r>
      <w:r>
        <w:t>clause 6.18.8(c1)</w:t>
      </w:r>
      <w:r>
        <w:t xml:space="preserve">, the </w:t>
      </w:r>
      <w:r>
        <w:rPr>
          <w:i/>
        </w:rPr>
        <w:t>AER</w:t>
      </w:r>
      <w:r>
        <w:t xml:space="preserve"> must also have regard to:</w:t>
      </w:r>
    </w:p>
    <w:p>
      <w:pPr>
        <w:pStyle w:val="NER-RC-List-3-MNum"/>
      </w:pPr>
      <w:r>
        <w:t>(i)</w:t>
        <w:tab/>
      </w:r>
      <w:r>
        <w:t xml:space="preserve">any variation in proposed tariffs that result from the </w:t>
      </w:r>
      <w:r>
        <w:t>remade 2015 determination</w:t>
      </w:r>
      <w:r>
        <w:t>; and</w:t>
      </w:r>
    </w:p>
    <w:p>
      <w:pPr>
        <w:pStyle w:val="NER-RC-List-3-MNum"/>
      </w:pPr>
      <w:r>
        <w:t>(ii)</w:t>
        <w:tab/>
      </w:r>
      <w:r>
        <w:t xml:space="preserve">any variation in proposed tariffs that result from the application of this </w:t>
      </w:r>
      <w:r>
        <w:rPr>
          <w:i/>
        </w:rPr>
        <w:t>participant derogation</w:t>
      </w:r>
      <w:r>
        <w:t>;</w:t>
      </w:r>
    </w:p>
    <w:p>
      <w:pPr>
        <w:pStyle w:val="NER-RC-List-2-MNum"/>
      </w:pPr>
      <w:r>
        <w:t>(7)</w:t>
        <w:tab/>
      </w:r>
      <w:r>
        <w:t xml:space="preserve">if </w:t>
      </w:r>
      <w:r>
        <w:t>clause 8A.15.6</w:t>
      </w:r>
      <w:r>
        <w:t xml:space="preserve"> applies, </w:t>
      </w:r>
      <w:r>
        <w:t>clause 6.5.9(b)(2)</w:t>
      </w:r>
      <w:r>
        <w:t xml:space="preserve"> does not apply to the extent necessary to include a revenue increase or revenue decrease (as the case may be) to the </w:t>
      </w:r>
      <w:r>
        <w:rPr>
          <w:i/>
        </w:rPr>
        <w:t>annual revenue requirement</w:t>
      </w:r>
      <w:r>
        <w:t xml:space="preserve"> or other building block revenue requirement of one or more regulatory years for the </w:t>
      </w:r>
      <w:r>
        <w:t>subsequent regulatory control period</w:t>
      </w:r>
      <w:r>
        <w:t xml:space="preserve"> for </w:t>
      </w:r>
      <w:r>
        <w:t>ActewAGL</w:t>
      </w:r>
      <w:r>
        <w:t xml:space="preserve"> under </w:t>
      </w:r>
      <w:r>
        <w:t>clause 8A.15.6(c)</w:t>
      </w:r>
      <w:r>
        <w:t>;</w:t>
      </w:r>
    </w:p>
    <w:p>
      <w:pPr>
        <w:pStyle w:val="NER-RC-List-2-MNum"/>
      </w:pPr>
      <w:r>
        <w:t>(8)</w:t>
        <w:tab/>
      </w:r>
      <w:r>
        <w:t xml:space="preserve">if </w:t>
      </w:r>
      <w:r>
        <w:t>clause 8A.15.4</w:t>
      </w:r>
      <w:r>
        <w:t xml:space="preserve"> applies, the reference to 'the other revenue increments or decrements' in clauses </w:t>
      </w:r>
      <w:r>
        <w:t>6.4.3(a)(6)</w:t>
      </w:r>
      <w:r>
        <w:t xml:space="preserve"> and </w:t>
      </w:r>
      <w:r>
        <w:t>6.4.3(b)(6)</w:t>
      </w:r>
      <w:r>
        <w:t xml:space="preserve"> is taken to include such increments or decrements as adjusted to the extent necessary to take into account the application of the </w:t>
      </w:r>
      <w:r>
        <w:t>substituted total revenue amount</w:t>
      </w:r>
      <w:r>
        <w:t xml:space="preserve"> under </w:t>
      </w:r>
      <w:r>
        <w:t>clause 8A.15.4(d)</w:t>
      </w:r>
      <w:r>
        <w:t>; and</w:t>
      </w:r>
    </w:p>
    <w:p>
      <w:pPr>
        <w:pStyle w:val="NER-RC-List-2-MNum"/>
      </w:pPr>
      <w:r>
        <w:t>(9)</w:t>
        <w:tab/>
      </w:r>
      <w:r>
        <w:t xml:space="preserve">if clause </w:t>
      </w:r>
      <w:r>
        <w:t>8A.15.5</w:t>
      </w:r>
      <w:r>
        <w:t xml:space="preserve"> or </w:t>
      </w:r>
      <w:r>
        <w:t>8A.15.6</w:t>
      </w:r>
      <w:r>
        <w:t xml:space="preserve"> applies, </w:t>
      </w:r>
      <w:r>
        <w:t>clauses 6A.23.3(e)(5)</w:t>
      </w:r>
      <w:r>
        <w:t xml:space="preserve">, (f) and (g) do not apply in respect of any </w:t>
      </w:r>
      <w:r>
        <w:t>transmission variation amount</w:t>
      </w:r>
      <w:r>
        <w:t>.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/>
      <w:pgMar w:top="1418" w:right="1418" w:bottom="1418" w:left="1418" w:header="680" w:footer="68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1061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1055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1061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1055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78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78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78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78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78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78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06AE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68FA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36B46D1"/>
    <w:multiLevelType w:val="hybridMultilevel"/>
    <w:tmpl w:val="E30CF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64B38"/>
    <w:multiLevelType w:val="multilevel"/>
    <w:tmpl w:val="D16CC80A"/>
    <w:lvl w:ilvl="0">
      <w:start w:val="1"/>
      <w:numFmt w:val="none"/>
      <w:suff w:val="nothing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</w:abstractNum>
  <w:abstractNum w:abstractNumId="4">
    <w:nsid w:val="19823BB8"/>
    <w:multiLevelType w:val="hybridMultilevel"/>
    <w:tmpl w:val="8CB0C1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A10BC8"/>
    <w:multiLevelType w:val="multilevel"/>
    <w:tmpl w:val="7B281838"/>
    <w:lvl w:ilvl="0">
      <w:start w:val="1"/>
      <w:numFmt w:val="none"/>
      <w:suff w:val="nothing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cs="Times New Roman" w:hint="default"/>
      </w:rPr>
    </w:lvl>
    <w:lvl w:ilvl="4">
      <w:start w:val="1"/>
      <w:numFmt w:val="none"/>
      <w:lvlRestart w:val="0"/>
      <w:suff w:val="nothing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rPr>
        <w:rFonts w:cs="Times New Roman" w:hint="default"/>
      </w:rPr>
    </w:lvl>
  </w:abstractNum>
  <w:abstractNum w:abstractNumId="6">
    <w:nsid w:val="30630309"/>
    <w:multiLevelType w:val="multilevel"/>
    <w:tmpl w:val="9E605976"/>
    <w:lvl w:ilvl="0">
      <w:start w:val="1"/>
      <w:numFmt w:val="decimal"/>
      <w:lvlText w:val="%1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lvlRestart w:val="0"/>
      <w:suff w:val="nothing"/>
      <w:lvlJc w:val="left"/>
      <w:rPr>
        <w:rFonts w:cs="Times New Roman" w:hint="default"/>
      </w:rPr>
    </w:lvl>
    <w:lvl w:ilvl="4">
      <w:start w:val="1"/>
      <w:numFmt w:val="none"/>
      <w:suff w:val="nothing"/>
      <w:lvlJc w:val="left"/>
      <w:rPr>
        <w:rFonts w:cs="Times New Roman" w:hint="default"/>
      </w:rPr>
    </w:lvl>
    <w:lvl w:ilvl="5">
      <w:start w:val="19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134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1701" w:hanging="567"/>
      </w:pPr>
      <w:rPr>
        <w:rFonts w:cs="Times New Roman" w:hint="default"/>
      </w:rPr>
    </w:lvl>
  </w:abstractNum>
  <w:abstractNum w:abstractNumId="7">
    <w:nsid w:val="57D96ED6"/>
    <w:multiLevelType w:val="hybridMultilevel"/>
    <w:tmpl w:val="9822C162"/>
    <w:lvl w:ilvl="0">
      <w:start w:val="1"/>
      <w:numFmt w:val="decimal"/>
      <w:lvlText w:val="Table %1"/>
      <w:lvlJc w:val="left"/>
      <w:pPr>
        <w:ind w:left="242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E2"/>
    <w:rsid w:val="00045655"/>
    <w:rsid w:val="00487FDF"/>
    <w:rsid w:val="004D02E2"/>
    <w:rsid w:val="00A622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600" w:after="40"/>
      <w:outlineLvl w:val="0"/>
    </w:pPr>
    <w:rPr>
      <w:rFonts w:ascii="Arial Bold" w:hAnsi="Arial Bold" w:cs="Arial Bold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40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color w:val="000000"/>
      <w:sz w:val="26"/>
      <w:szCs w:val="26"/>
    </w:rPr>
  </w:style>
  <w:style w:type="paragraph" w:customStyle="1" w:styleId="Para">
    <w:name w:val="Para"/>
    <w:basedOn w:val="Base-ND-Para"/>
    <w:uiPriority w:val="99"/>
  </w:style>
  <w:style w:type="paragraph" w:customStyle="1" w:styleId="Base-ND-Para">
    <w:name w:val="Base-ND-Para"/>
    <w:uiPriority w:val="99"/>
    <w:pPr>
      <w:autoSpaceDE w:val="0"/>
      <w:autoSpaceDN w:val="0"/>
      <w:adjustRightInd w:val="0"/>
      <w:spacing w:before="120" w:after="120" w:line="264" w:lineRule="auto"/>
    </w:pPr>
    <w:rPr>
      <w:rFonts w:ascii="Book Antiqua" w:hAnsi="Book Antiqua" w:cs="Book Antiqua"/>
      <w:color w:val="000000"/>
    </w:rPr>
  </w:style>
  <w:style w:type="paragraph" w:customStyle="1" w:styleId="Head-1-body-item-ANum">
    <w:name w:val="Head-1-body-item-ANum"/>
    <w:basedOn w:val="Base-ND-Title-1"/>
    <w:uiPriority w:val="99"/>
    <w:pPr>
      <w:ind w:left="0" w:firstLine="0"/>
    </w:pPr>
  </w:style>
  <w:style w:type="paragraph" w:customStyle="1" w:styleId="Base-ND-Title-1">
    <w:name w:val="Base-ND-Title-1"/>
    <w:basedOn w:val="Base-ND-Num-Outline-Title-Indent"/>
    <w:uiPriority w:val="99"/>
    <w:pPr>
      <w:pageBreakBefore/>
      <w:spacing w:after="360"/>
      <w:outlineLvl w:val="0"/>
    </w:pPr>
    <w:rPr>
      <w:sz w:val="28"/>
      <w:szCs w:val="28"/>
    </w:rPr>
  </w:style>
  <w:style w:type="paragraph" w:customStyle="1" w:styleId="Base-ND-Num-Outline-Title-Indent">
    <w:name w:val="Base-ND-Num-Outline-Title-Indent"/>
    <w:basedOn w:val="Base-ND-Title"/>
    <w:uiPriority w:val="99"/>
    <w:pPr>
      <w:tabs>
        <w:tab w:val="left" w:pos="851"/>
      </w:tabs>
      <w:ind w:left="851" w:hanging="851"/>
    </w:pPr>
  </w:style>
  <w:style w:type="paragraph" w:customStyle="1" w:styleId="Base-ND-Title">
    <w:name w:val="Base-ND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Head-2-body-item-ANum">
    <w:name w:val="Head-2-body-item-ANum"/>
    <w:basedOn w:val="Base-ND-Title-2"/>
    <w:uiPriority w:val="99"/>
    <w:pPr>
      <w:ind w:left="0" w:firstLine="0"/>
    </w:pPr>
  </w:style>
  <w:style w:type="paragraph" w:customStyle="1" w:styleId="Base-ND-Title-2">
    <w:name w:val="Base-ND-Title-2"/>
    <w:basedOn w:val="Base-ND-Num-Outline-Title-Indent"/>
    <w:uiPriority w:val="99"/>
    <w:pPr>
      <w:spacing w:before="240" w:after="240"/>
      <w:outlineLvl w:val="1"/>
    </w:pPr>
  </w:style>
  <w:style w:type="paragraph" w:customStyle="1" w:styleId="Head-3-body-item-ANum">
    <w:name w:val="Head-3-body-item-ANum"/>
    <w:basedOn w:val="Base-ND-Title-3"/>
    <w:uiPriority w:val="99"/>
    <w:pPr>
      <w:ind w:left="0" w:firstLine="0"/>
    </w:pPr>
  </w:style>
  <w:style w:type="paragraph" w:customStyle="1" w:styleId="Base-ND-Title-3">
    <w:name w:val="Base-ND-Title-3"/>
    <w:basedOn w:val="Base-ND-Num-Outline-Title-Indent"/>
    <w:uiPriority w:val="99"/>
    <w:pPr>
      <w:spacing w:before="240" w:after="240"/>
      <w:outlineLvl w:val="2"/>
    </w:pPr>
    <w:rPr>
      <w:sz w:val="22"/>
      <w:szCs w:val="22"/>
    </w:rPr>
  </w:style>
  <w:style w:type="paragraph" w:customStyle="1" w:styleId="List-1-Bull">
    <w:name w:val="List-1-Bull"/>
    <w:basedOn w:val="List-1-MNum"/>
    <w:uiPriority w:val="99"/>
  </w:style>
  <w:style w:type="paragraph" w:customStyle="1" w:styleId="List-1-MNum">
    <w:name w:val="List-1-MNum"/>
    <w:basedOn w:val="List-1-UNum"/>
    <w:uiPriority w:val="99"/>
    <w:pPr>
      <w:tabs>
        <w:tab w:val="left" w:pos="567"/>
      </w:tabs>
      <w:ind w:left="567" w:hanging="567"/>
    </w:pPr>
  </w:style>
  <w:style w:type="paragraph" w:customStyle="1" w:styleId="List-1-UNum">
    <w:name w:val="List-1-UNum"/>
    <w:basedOn w:val="Base-ND-Para"/>
    <w:uiPriority w:val="99"/>
  </w:style>
  <w:style w:type="paragraph" w:customStyle="1" w:styleId="Head-4-body-item">
    <w:name w:val="Head-4-body-item"/>
    <w:basedOn w:val="Base-ND-Title-4"/>
    <w:uiPriority w:val="99"/>
    <w:pPr>
      <w:numPr>
        <w:ilvl w:val="3"/>
        <w:numId w:val="8"/>
      </w:numPr>
    </w:pPr>
  </w:style>
  <w:style w:type="paragraph" w:customStyle="1" w:styleId="Base-ND-Title-4">
    <w:name w:val="Base-ND-Title-4"/>
    <w:basedOn w:val="Base-ND-Num-Outline-Title-Indent"/>
    <w:uiPriority w:val="99"/>
    <w:pPr>
      <w:spacing w:before="240" w:after="240"/>
      <w:outlineLvl w:val="3"/>
    </w:pPr>
    <w:rPr>
      <w:sz w:val="22"/>
      <w:szCs w:val="22"/>
    </w:rPr>
  </w:style>
  <w:style w:type="paragraph" w:customStyle="1" w:styleId="Table-Column-Head">
    <w:name w:val="Table-Column-Head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Base-ND-Inclusion-Para">
    <w:name w:val="Base-ND-Inclusion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List-2-Bull">
    <w:name w:val="List-2-Bull"/>
    <w:basedOn w:val="List-2-MNum"/>
    <w:uiPriority w:val="99"/>
  </w:style>
  <w:style w:type="paragraph" w:customStyle="1" w:styleId="List-2-MNum">
    <w:name w:val="List-2-MNum"/>
    <w:basedOn w:val="List-2-UNum"/>
    <w:uiPriority w:val="99"/>
    <w:pPr>
      <w:tabs>
        <w:tab w:val="left" w:pos="1134"/>
      </w:tabs>
      <w:ind w:left="1134" w:hanging="567"/>
    </w:pPr>
  </w:style>
  <w:style w:type="paragraph" w:customStyle="1" w:styleId="List-2-UNum">
    <w:name w:val="List-2-UNum"/>
    <w:basedOn w:val="Base-ND-Para"/>
    <w:uiPriority w:val="99"/>
    <w:pPr>
      <w:ind w:left="567"/>
    </w:pPr>
  </w:style>
  <w:style w:type="paragraph" w:customStyle="1" w:styleId="List-3-Bull">
    <w:name w:val="List-3-Bull"/>
    <w:basedOn w:val="List-3-MNum"/>
    <w:uiPriority w:val="99"/>
  </w:style>
  <w:style w:type="paragraph" w:customStyle="1" w:styleId="List-3-MNum">
    <w:name w:val="List-3-MNum"/>
    <w:basedOn w:val="List-3-UNum"/>
    <w:uiPriority w:val="99"/>
    <w:pPr>
      <w:tabs>
        <w:tab w:val="left" w:pos="1701"/>
      </w:tabs>
      <w:ind w:left="1701" w:hanging="567"/>
    </w:pPr>
  </w:style>
  <w:style w:type="paragraph" w:customStyle="1" w:styleId="List-3-UNum">
    <w:name w:val="List-3-UNum"/>
    <w:basedOn w:val="Base-ND-Para"/>
    <w:uiPriority w:val="99"/>
    <w:pPr>
      <w:ind w:left="1134"/>
    </w:pPr>
  </w:style>
  <w:style w:type="paragraph" w:customStyle="1" w:styleId="List-4-Bull">
    <w:name w:val="List-4-Bull"/>
    <w:basedOn w:val="List-4-MNum"/>
    <w:uiPriority w:val="99"/>
  </w:style>
  <w:style w:type="paragraph" w:customStyle="1" w:styleId="List-4-MNum">
    <w:name w:val="List-4-MNum"/>
    <w:basedOn w:val="List-4-UNum"/>
    <w:uiPriority w:val="99"/>
    <w:pPr>
      <w:tabs>
        <w:tab w:val="left" w:pos="2268"/>
      </w:tabs>
      <w:ind w:left="2268" w:hanging="567"/>
    </w:pPr>
  </w:style>
  <w:style w:type="paragraph" w:customStyle="1" w:styleId="List-4-UNum">
    <w:name w:val="List-4-UNum"/>
    <w:basedOn w:val="Base-ND-Para"/>
    <w:uiPriority w:val="99"/>
    <w:pPr>
      <w:ind w:left="1701"/>
    </w:pPr>
  </w:style>
  <w:style w:type="paragraph" w:customStyle="1" w:styleId="Table-Title-UNum">
    <w:name w:val="Table-Title-UNum"/>
    <w:basedOn w:val="Inclusion-Title-UNum"/>
    <w:uiPriority w:val="99"/>
  </w:style>
  <w:style w:type="paragraph" w:customStyle="1" w:styleId="Inclusion-Title-UNum">
    <w:name w:val="Inclusion-Title-UNum"/>
    <w:basedOn w:val="Base-ND-Inclusion-Title"/>
    <w:uiPriority w:val="99"/>
    <w:pPr>
      <w:spacing w:before="240" w:after="120"/>
    </w:pPr>
  </w:style>
  <w:style w:type="paragraph" w:customStyle="1" w:styleId="Base-ND-Inclusion-Title">
    <w:name w:val="Base-ND-Inclusion-Title"/>
    <w:basedOn w:val="Base-ND-Title"/>
    <w:uiPriority w:val="99"/>
    <w:rPr>
      <w:sz w:val="22"/>
      <w:szCs w:val="22"/>
    </w:rPr>
  </w:style>
  <w:style w:type="paragraph" w:customStyle="1" w:styleId="Contents-Title">
    <w:name w:val="Contents-Title"/>
    <w:basedOn w:val="Base-ND-Title"/>
    <w:uiPriority w:val="99"/>
    <w:pPr>
      <w:spacing w:after="360"/>
    </w:pPr>
    <w:rPr>
      <w:sz w:val="28"/>
      <w:szCs w:val="28"/>
    </w:rPr>
  </w:style>
  <w:style w:type="paragraph" w:customStyle="1" w:styleId="Head-1-front-item">
    <w:name w:val="Head-1-front-item"/>
    <w:basedOn w:val="Base-ND-Title-1"/>
    <w:uiPriority w:val="99"/>
    <w:pPr>
      <w:tabs>
        <w:tab w:val="clear" w:pos="851"/>
      </w:tabs>
      <w:ind w:left="0" w:firstLine="0"/>
    </w:pPr>
    <w:rPr>
      <w:b w:val="0"/>
      <w:bCs w:val="0"/>
    </w:rPr>
  </w:style>
  <w:style w:type="paragraph" w:customStyle="1" w:styleId="Head-1-body-item">
    <w:name w:val="Head-1-body-item"/>
    <w:basedOn w:val="Base-ND-Title-1"/>
    <w:uiPriority w:val="99"/>
  </w:style>
  <w:style w:type="paragraph" w:customStyle="1" w:styleId="Document-Title">
    <w:name w:val="Document-Title"/>
    <w:basedOn w:val="Normal"/>
    <w:uiPriority w:val="99"/>
    <w:pPr>
      <w:spacing w:after="720"/>
      <w:jc w:val="center"/>
    </w:pPr>
    <w:rPr>
      <w:rFonts w:ascii="Arial" w:hAnsi="Arial" w:cs="Arial"/>
      <w:sz w:val="32"/>
      <w:szCs w:val="32"/>
    </w:rPr>
  </w:style>
  <w:style w:type="paragraph" w:customStyle="1" w:styleId="Cover-Company">
    <w:name w:val="Cover-Company"/>
    <w:basedOn w:val="Normal"/>
    <w:uiPriority w:val="99"/>
    <w:pPr>
      <w:spacing w:before="2600"/>
    </w:pPr>
    <w:rPr>
      <w:sz w:val="48"/>
      <w:szCs w:val="48"/>
    </w:rPr>
  </w:style>
  <w:style w:type="paragraph" w:customStyle="1" w:styleId="Cover-Project">
    <w:name w:val="Cover-Project"/>
    <w:basedOn w:val="Normal"/>
    <w:uiPriority w:val="99"/>
    <w:pPr>
      <w:spacing w:before="2200"/>
    </w:pPr>
    <w:rPr>
      <w:rFonts w:ascii="Arial" w:hAnsi="Arial" w:cs="Arial"/>
      <w:sz w:val="36"/>
      <w:szCs w:val="36"/>
    </w:rPr>
  </w:style>
  <w:style w:type="paragraph" w:customStyle="1" w:styleId="Cover-Title">
    <w:name w:val="Cover-Title"/>
    <w:basedOn w:val="Normal"/>
    <w:uiPriority w:val="99"/>
    <w:pPr>
      <w:spacing w:before="240"/>
    </w:pPr>
    <w:rPr>
      <w:rFonts w:ascii="Arial" w:hAnsi="Arial" w:cs="Arial"/>
      <w:sz w:val="48"/>
      <w:szCs w:val="48"/>
    </w:rPr>
  </w:style>
  <w:style w:type="paragraph" w:customStyle="1" w:styleId="Cover-Version">
    <w:name w:val="Cover-Version"/>
    <w:basedOn w:val="Normal"/>
    <w:uiPriority w:val="99"/>
    <w:pPr>
      <w:spacing w:before="880"/>
    </w:pPr>
    <w:rPr>
      <w:rFonts w:ascii="Times Roman" w:hAnsi="Times Roman" w:cs="Times Roman"/>
    </w:r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8506"/>
      </w:tabs>
      <w:spacing w:before="120" w:after="120"/>
      <w:ind w:left="1134" w:hanging="567"/>
    </w:pPr>
    <w:rPr>
      <w:rFonts w:ascii="Book Antiqua" w:hAnsi="Book Antiqua" w:cs="Book Antiqua"/>
      <w:sz w:val="20"/>
      <w:szCs w:val="20"/>
    </w:rPr>
  </w:style>
  <w:style w:type="paragraph" w:customStyle="1" w:styleId="Cover-Author">
    <w:name w:val="Cover-Author"/>
    <w:basedOn w:val="Cover-Version"/>
    <w:uiPriority w:val="99"/>
    <w:pPr>
      <w:spacing w:before="160"/>
    </w:pPr>
  </w:style>
  <w:style w:type="paragraph" w:customStyle="1" w:styleId="Cover-Copyright">
    <w:name w:val="Cover-Copyright"/>
    <w:basedOn w:val="Cover-Version"/>
    <w:uiPriority w:val="99"/>
    <w:pPr>
      <w:spacing w:before="160"/>
    </w:pPr>
  </w:style>
  <w:style w:type="paragraph" w:customStyle="1" w:styleId="Document-Header">
    <w:name w:val="Document-Header"/>
    <w:basedOn w:val="Normal"/>
    <w:uiPriority w:val="99"/>
    <w:pPr>
      <w:pBdr>
        <w:bottom w:val="single" w:sz="4" w:space="1" w:color="auto"/>
      </w:pBdr>
      <w:tabs>
        <w:tab w:val="right" w:pos="8506"/>
      </w:tabs>
    </w:pPr>
    <w:rPr>
      <w:rFonts w:ascii="Arial" w:hAnsi="Arial" w:cs="Arial"/>
      <w:sz w:val="18"/>
      <w:szCs w:val="18"/>
    </w:rPr>
  </w:style>
  <w:style w:type="paragraph" w:customStyle="1" w:styleId="Document-Footer">
    <w:name w:val="Document-Footer"/>
    <w:basedOn w:val="Document-Header"/>
    <w:uiPriority w:val="99"/>
    <w:pPr>
      <w:pBdr>
        <w:top w:val="single" w:sz="4" w:space="1" w:color="auto"/>
        <w:bottom w:val="none" w:sz="0" w:space="0" w:color="auto"/>
      </w:pBdr>
      <w:jc w:val="center"/>
    </w:pPr>
  </w:style>
  <w:style w:type="paragraph" w:customStyle="1" w:styleId="Text">
    <w:name w:val="Text"/>
    <w:basedOn w:val="Base-ND-Para"/>
    <w:uiPriority w:val="99"/>
  </w:style>
  <w:style w:type="paragraph" w:customStyle="1" w:styleId="Para-Centred">
    <w:name w:val="Para-Centred"/>
    <w:basedOn w:val="Base-ND-Para"/>
    <w:uiPriority w:val="99"/>
    <w:pPr>
      <w:jc w:val="center"/>
    </w:pPr>
  </w:style>
  <w:style w:type="paragraph" w:customStyle="1" w:styleId="Base-Quote-Para">
    <w:name w:val="Base-Quote-Para"/>
    <w:basedOn w:val="Base-ND-Para"/>
    <w:uiPriority w:val="99"/>
    <w:pPr>
      <w:ind w:left="567" w:right="567"/>
    </w:pPr>
  </w:style>
  <w:style w:type="paragraph" w:customStyle="1" w:styleId="Para-Right">
    <w:name w:val="Para-Right"/>
    <w:basedOn w:val="Base-ND-Para"/>
    <w:uiPriority w:val="99"/>
    <w:pPr>
      <w:jc w:val="right"/>
    </w:pPr>
  </w:style>
  <w:style w:type="paragraph" w:customStyle="1" w:styleId="Table-Para">
    <w:name w:val="Table-Para"/>
    <w:basedOn w:val="Base-ND-Table-Para"/>
    <w:uiPriority w:val="99"/>
  </w:style>
  <w:style w:type="paragraph" w:customStyle="1" w:styleId="Base-ND-Table-Para">
    <w:name w:val="Base-ND-Table-Para"/>
    <w:basedOn w:val="Base-ND-Inclusion-Para"/>
    <w:uiPriority w:val="99"/>
  </w:style>
  <w:style w:type="paragraph" w:customStyle="1" w:styleId="Head-1-table-item">
    <w:name w:val="Head-1-table-item"/>
    <w:basedOn w:val="Head-1-inclusion-item"/>
    <w:uiPriority w:val="99"/>
  </w:style>
  <w:style w:type="paragraph" w:customStyle="1" w:styleId="Head-1-inclusion-item">
    <w:name w:val="Head-1-inclusion-item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Head-2-table-item">
    <w:name w:val="Head-2-table-item"/>
    <w:basedOn w:val="Head-2-inclusion-item"/>
    <w:uiPriority w:val="99"/>
  </w:style>
  <w:style w:type="paragraph" w:customStyle="1" w:styleId="Head-2-inclusion-item">
    <w:name w:val="Head-2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Head-3-table-item">
    <w:name w:val="Head-3-table-item"/>
    <w:basedOn w:val="Head-3-inclusion-item"/>
    <w:uiPriority w:val="99"/>
  </w:style>
  <w:style w:type="paragraph" w:customStyle="1" w:styleId="Head-3-inclusion-item">
    <w:name w:val="Head-3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Inclusion-List-1-bull">
    <w:name w:val="Inclusion-List-1-bull"/>
    <w:basedOn w:val="Inclusion-List-1-MNum"/>
    <w:uiPriority w:val="99"/>
  </w:style>
  <w:style w:type="paragraph" w:customStyle="1" w:styleId="Inclusion-List-1-MNum">
    <w:name w:val="Inclusion-List-1-MNum"/>
    <w:basedOn w:val="Inclusion-List-1-UNum"/>
    <w:uiPriority w:val="99"/>
    <w:pPr>
      <w:tabs>
        <w:tab w:val="left" w:pos="567"/>
      </w:tabs>
      <w:ind w:left="567" w:hanging="567"/>
    </w:pPr>
  </w:style>
  <w:style w:type="paragraph" w:customStyle="1" w:styleId="Inclusion-List-1-UNum">
    <w:name w:val="Inclusion-List-1-UNum"/>
    <w:basedOn w:val="Base-ND-Inclusion-Para"/>
    <w:uiPriority w:val="99"/>
  </w:style>
  <w:style w:type="paragraph" w:customStyle="1" w:styleId="Inclusion-List-2-bull">
    <w:name w:val="Inclusion-List-2-bull"/>
    <w:basedOn w:val="Inclusion-List-2-MNum"/>
    <w:uiPriority w:val="99"/>
  </w:style>
  <w:style w:type="paragraph" w:customStyle="1" w:styleId="Inclusion-List-2-MNum">
    <w:name w:val="Inclusion-List-2-MNum"/>
    <w:basedOn w:val="Inclusion-List-2-UNum"/>
    <w:uiPriority w:val="99"/>
    <w:pPr>
      <w:tabs>
        <w:tab w:val="left" w:pos="1134"/>
      </w:tabs>
      <w:ind w:left="1134" w:hanging="567"/>
    </w:pPr>
  </w:style>
  <w:style w:type="paragraph" w:customStyle="1" w:styleId="Inclusion-List-2-UNum">
    <w:name w:val="Inclusion-List-2-UNum"/>
    <w:basedOn w:val="Base-ND-Inclusion-Para"/>
    <w:uiPriority w:val="99"/>
    <w:pPr>
      <w:ind w:left="567"/>
    </w:pPr>
  </w:style>
  <w:style w:type="paragraph" w:customStyle="1" w:styleId="Table-Para-Centred">
    <w:name w:val="Table-Para-Centred"/>
    <w:basedOn w:val="Base-ND-Table-Para"/>
    <w:uiPriority w:val="99"/>
    <w:pPr>
      <w:jc w:val="center"/>
    </w:pPr>
  </w:style>
  <w:style w:type="paragraph" w:customStyle="1" w:styleId="Table-Para-Right">
    <w:name w:val="Table-Para-Right"/>
    <w:basedOn w:val="Base-ND-Table-Para"/>
    <w:uiPriority w:val="99"/>
    <w:pPr>
      <w:jc w:val="right"/>
    </w:pPr>
  </w:style>
  <w:style w:type="paragraph" w:customStyle="1" w:styleId="Fig-Title-UNum">
    <w:name w:val="Fig-Title-UNum"/>
    <w:basedOn w:val="Inclusion-Title-UNum"/>
    <w:uiPriority w:val="99"/>
  </w:style>
  <w:style w:type="paragraph" w:customStyle="1" w:styleId="Box-Para">
    <w:name w:val="Box-Para"/>
    <w:basedOn w:val="Base-ND-Box-Para"/>
    <w:uiPriority w:val="99"/>
  </w:style>
  <w:style w:type="paragraph" w:customStyle="1" w:styleId="Base-ND-Box-Para">
    <w:name w:val="Base-ND-Box-Para"/>
    <w:basedOn w:val="Base-ND-Para"/>
    <w:uiPriority w:val="99"/>
  </w:style>
  <w:style w:type="paragraph" w:styleId="Header">
    <w:name w:val="header"/>
    <w:basedOn w:val="Normal"/>
    <w:link w:val="HeaderChar"/>
    <w:uiPriority w:val="99"/>
    <w:pPr>
      <w:tabs>
        <w:tab w:val="right" w:pos="907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1"/>
        <w:tab w:val="right" w:pos="864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customStyle="1" w:styleId="Names">
    <w:name w:val="Names"/>
    <w:basedOn w:val="Normal"/>
    <w:uiPriority w:val="99"/>
    <w:rPr>
      <w:rFonts w:ascii="Arial" w:hAnsi="Arial" w:cs="Arial"/>
      <w:sz w:val="22"/>
      <w:szCs w:val="22"/>
    </w:rPr>
  </w:style>
  <w:style w:type="paragraph" w:customStyle="1" w:styleId="Publisher-Info-Title">
    <w:name w:val="Publisher-Info-Title"/>
    <w:basedOn w:val="Base-ND-Para"/>
    <w:uiPriority w:val="99"/>
    <w:pPr>
      <w:keepNext/>
      <w:spacing w:before="1040" w:line="240" w:lineRule="auto"/>
    </w:pPr>
    <w:rPr>
      <w:b/>
      <w:bCs/>
    </w:rPr>
  </w:style>
  <w:style w:type="paragraph" w:customStyle="1" w:styleId="Publisher-Info-Group-First-Par">
    <w:name w:val="Publisher-Info-Group-First-Par"/>
    <w:basedOn w:val="Base-ND-Para"/>
    <w:uiPriority w:val="99"/>
    <w:pPr>
      <w:spacing w:before="600"/>
    </w:pPr>
  </w:style>
  <w:style w:type="paragraph" w:customStyle="1" w:styleId="Publisher-Info-Copyright-Para-F">
    <w:name w:val="Publisher-Info-Copyright-Para-F"/>
    <w:basedOn w:val="Publisher-Info-Copyright-Para"/>
    <w:next w:val="Publisher-Info-Copyright-Para"/>
    <w:uiPriority w:val="99"/>
    <w:pPr>
      <w:spacing w:before="1040"/>
    </w:pPr>
  </w:style>
  <w:style w:type="paragraph" w:customStyle="1" w:styleId="Publisher-Info-Copyright-Para">
    <w:name w:val="Publisher-Info-Copyright-Para"/>
    <w:basedOn w:val="Base-ND-Para"/>
    <w:uiPriority w:val="99"/>
  </w:style>
  <w:style w:type="paragraph" w:customStyle="1" w:styleId="Address-Info-Para-F">
    <w:name w:val="Address-Info-Para-F"/>
    <w:basedOn w:val="Address-Info-Para"/>
    <w:uiPriority w:val="99"/>
    <w:pPr>
      <w:numPr>
        <w:ilvl w:val="5"/>
        <w:numId w:val="1"/>
      </w:numPr>
      <w:tabs>
        <w:tab w:val="clear" w:pos="1209"/>
      </w:tabs>
      <w:spacing w:before="120"/>
      <w:ind w:left="0" w:firstLine="0"/>
    </w:pPr>
  </w:style>
  <w:style w:type="paragraph" w:customStyle="1" w:styleId="Address-Info-Para">
    <w:name w:val="Address-Info-Para"/>
    <w:basedOn w:val="Base-ND-Para"/>
    <w:uiPriority w:val="99"/>
    <w:pPr>
      <w:spacing w:before="0" w:after="0" w:line="240" w:lineRule="auto"/>
    </w:pPr>
  </w:style>
  <w:style w:type="paragraph" w:customStyle="1" w:styleId="Reference-Info-Para-F">
    <w:name w:val="Reference-Info-Para-F"/>
    <w:basedOn w:val="Base-ND-Para"/>
    <w:uiPriority w:val="99"/>
    <w:pPr>
      <w:spacing w:before="600"/>
    </w:pPr>
  </w:style>
  <w:style w:type="paragraph" w:customStyle="1" w:styleId="Publisher-Info-Title-F">
    <w:name w:val="Publisher-Info-Title-F"/>
    <w:basedOn w:val="Publisher-Info-Title"/>
    <w:uiPriority w:val="99"/>
    <w:pPr>
      <w:pageBreakBefore/>
    </w:pPr>
  </w:style>
  <w:style w:type="paragraph" w:customStyle="1" w:styleId="Head-2-front-item">
    <w:name w:val="Head-2-front-item"/>
    <w:basedOn w:val="Base-ND-Title-2"/>
    <w:uiPriority w:val="99"/>
    <w:pPr>
      <w:tabs>
        <w:tab w:val="clear" w:pos="851"/>
      </w:tabs>
      <w:ind w:left="0" w:firstLine="0"/>
    </w:pPr>
  </w:style>
  <w:style w:type="paragraph" w:customStyle="1" w:styleId="Base-ND-Title-5">
    <w:name w:val="Base-ND-Title-5"/>
    <w:basedOn w:val="Base-ND-Num-Outline-Title-Indent"/>
    <w:uiPriority w:val="99"/>
    <w:pPr>
      <w:spacing w:before="240" w:after="240"/>
      <w:outlineLvl w:val="4"/>
    </w:pPr>
    <w:rPr>
      <w:sz w:val="22"/>
      <w:szCs w:val="22"/>
    </w:rPr>
  </w:style>
  <w:style w:type="paragraph" w:customStyle="1" w:styleId="ElkeraAnnotationPara">
    <w:name w:val="Elkera_Annotation_Para"/>
    <w:uiPriority w:val="99"/>
    <w:pPr>
      <w:autoSpaceDE w:val="0"/>
      <w:autoSpaceDN w:val="0"/>
      <w:adjustRightInd w:val="0"/>
      <w:spacing w:before="120" w:after="0" w:line="240" w:lineRule="auto"/>
    </w:pPr>
    <w:rPr>
      <w:rFonts w:ascii="Arial" w:hAnsi="Arial" w:cs="Arial"/>
      <w:color w:val="993300"/>
      <w:sz w:val="20"/>
      <w:szCs w:val="20"/>
    </w:rPr>
  </w:style>
  <w:style w:type="paragraph" w:customStyle="1" w:styleId="Topic-Shortdesc">
    <w:name w:val="Topic-Shortdesc"/>
    <w:basedOn w:val="Base-ND-Para"/>
    <w:uiPriority w:val="99"/>
    <w:pPr>
      <w:numPr>
        <w:ilvl w:val="2"/>
        <w:numId w:val="2"/>
      </w:numPr>
      <w:tabs>
        <w:tab w:val="clear" w:pos="926"/>
        <w:tab w:val="left" w:pos="1588"/>
      </w:tabs>
      <w:ind w:left="1588" w:hanging="567"/>
    </w:pPr>
  </w:style>
  <w:style w:type="paragraph" w:customStyle="1" w:styleId="ImageCenter">
    <w:name w:val="Image[Center]"/>
    <w:basedOn w:val="Base-ND-Para"/>
    <w:uiPriority w:val="9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Right">
    <w:name w:val="Image[Right]"/>
    <w:basedOn w:val="Base-ND-Para"/>
    <w:uiPriority w:val="99"/>
    <w:p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Para-In-1">
    <w:name w:val="Para-In-1"/>
    <w:basedOn w:val="Base-ND-Para"/>
    <w:uiPriority w:val="99"/>
    <w:pPr>
      <w:ind w:left="567"/>
    </w:pPr>
  </w:style>
  <w:style w:type="paragraph" w:customStyle="1" w:styleId="Para-In-2">
    <w:name w:val="Para-In-2"/>
    <w:basedOn w:val="Base-ND-Para"/>
    <w:uiPriority w:val="99"/>
    <w:pPr>
      <w:ind w:left="1134"/>
    </w:pPr>
  </w:style>
  <w:style w:type="paragraph" w:customStyle="1" w:styleId="Para-In-3">
    <w:name w:val="Para-In-3"/>
    <w:basedOn w:val="Base-ND-Para"/>
    <w:uiPriority w:val="99"/>
    <w:pPr>
      <w:ind w:left="1701"/>
    </w:pPr>
  </w:style>
  <w:style w:type="paragraph" w:customStyle="1" w:styleId="Para-In-4">
    <w:name w:val="Para-In-4"/>
    <w:basedOn w:val="Base-ND-Para"/>
    <w:uiPriority w:val="99"/>
    <w:pPr>
      <w:ind w:left="2268"/>
    </w:pPr>
  </w:style>
  <w:style w:type="paragraph" w:customStyle="1" w:styleId="ImageLeft">
    <w:name w:val="Image[Left]"/>
    <w:basedOn w:val="Base-ND-Para"/>
    <w:uiPriority w:val="99"/>
    <w:rPr>
      <w:rFonts w:ascii="Times New Roman" w:hAnsi="Times New Roman" w:cs="Times New Roman"/>
      <w:sz w:val="24"/>
      <w:szCs w:val="24"/>
    </w:rPr>
  </w:style>
  <w:style w:type="paragraph" w:customStyle="1" w:styleId="ImagePage-Left">
    <w:name w:val="Image[Page-Left]"/>
    <w:basedOn w:val="ImageLeft"/>
    <w:uiPriority w:val="99"/>
  </w:style>
  <w:style w:type="paragraph" w:customStyle="1" w:styleId="ImagePage-Center">
    <w:name w:val="Image[Page-Center]"/>
    <w:basedOn w:val="ImageCenter"/>
    <w:uiPriority w:val="99"/>
  </w:style>
  <w:style w:type="paragraph" w:customStyle="1" w:styleId="List-1-ANum">
    <w:name w:val="List-1-ANum"/>
    <w:basedOn w:val="List-1-MNum"/>
    <w:uiPriority w:val="99"/>
  </w:style>
  <w:style w:type="paragraph" w:customStyle="1" w:styleId="List-2-ANum">
    <w:name w:val="List-2-ANum"/>
    <w:basedOn w:val="List-2-MNum"/>
    <w:uiPriority w:val="99"/>
  </w:style>
  <w:style w:type="paragraph" w:customStyle="1" w:styleId="List-3-ANum">
    <w:name w:val="List-3-ANum"/>
    <w:basedOn w:val="List-3-MNum"/>
    <w:uiPriority w:val="99"/>
  </w:style>
  <w:style w:type="paragraph" w:customStyle="1" w:styleId="Table-Para-In-1">
    <w:name w:val="Table-Para-In-1"/>
    <w:basedOn w:val="Base-ND-Table-Para"/>
    <w:uiPriority w:val="99"/>
    <w:pPr>
      <w:ind w:left="284"/>
    </w:pPr>
  </w:style>
  <w:style w:type="paragraph" w:customStyle="1" w:styleId="Inclusion-Std-Para-In-1">
    <w:name w:val="Inclusion-Std-Para-In-1"/>
    <w:basedOn w:val="Base-ND-Inclusion-Para"/>
    <w:uiPriority w:val="99"/>
    <w:pPr>
      <w:ind w:left="567"/>
    </w:pPr>
  </w:style>
  <w:style w:type="paragraph" w:customStyle="1" w:styleId="Table-Para-In-2">
    <w:name w:val="Table-Para-In-2"/>
    <w:basedOn w:val="Base-ND-Table-Para"/>
    <w:uiPriority w:val="99"/>
    <w:pPr>
      <w:ind w:left="567"/>
    </w:pPr>
  </w:style>
  <w:style w:type="paragraph" w:customStyle="1" w:styleId="Inclusion-Std-Para-In-2">
    <w:name w:val="Inclusion-Std-Para-In-2"/>
    <w:basedOn w:val="Base-ND-Inclusion-Para"/>
    <w:uiPriority w:val="99"/>
    <w:pPr>
      <w:ind w:left="1134"/>
    </w:pPr>
  </w:style>
  <w:style w:type="paragraph" w:customStyle="1" w:styleId="Table-Para-In-3">
    <w:name w:val="Table-Para-In-3"/>
    <w:basedOn w:val="Base-ND-Table-Para"/>
    <w:uiPriority w:val="99"/>
    <w:pPr>
      <w:ind w:left="851"/>
    </w:pPr>
  </w:style>
  <w:style w:type="paragraph" w:customStyle="1" w:styleId="Inclusion-Std-Para-In-3">
    <w:name w:val="Inclusion-Std-Para-In-3"/>
    <w:basedOn w:val="Base-ND-Inclusion-Para"/>
    <w:uiPriority w:val="99"/>
    <w:pPr>
      <w:ind w:left="1701"/>
    </w:pPr>
  </w:style>
  <w:style w:type="paragraph" w:customStyle="1" w:styleId="Table-Para-In-4">
    <w:name w:val="Table-Para-In-4"/>
    <w:basedOn w:val="Base-ND-Table-Para"/>
    <w:uiPriority w:val="99"/>
    <w:pPr>
      <w:ind w:left="1134"/>
    </w:pPr>
  </w:style>
  <w:style w:type="paragraph" w:customStyle="1" w:styleId="Inclusion-Std-Para-In-4">
    <w:name w:val="Inclusion-Std-Para-In-4"/>
    <w:basedOn w:val="Base-ND-Inclusion-Para"/>
    <w:uiPriority w:val="99"/>
    <w:pPr>
      <w:ind w:left="2268"/>
    </w:pPr>
  </w:style>
  <w:style w:type="paragraph" w:customStyle="1" w:styleId="Table-Space-Before">
    <w:name w:val="Table-Space-Before"/>
    <w:basedOn w:val="Base-ND-Para"/>
    <w:uiPriority w:val="99"/>
    <w:pPr>
      <w:keepNext/>
      <w:keepLines/>
      <w:spacing w:before="160" w:after="0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Head-2-body-item">
    <w:name w:val="Head-2-body-item"/>
    <w:basedOn w:val="Base-ND-Title-2"/>
    <w:uiPriority w:val="99"/>
  </w:style>
  <w:style w:type="paragraph" w:customStyle="1" w:styleId="Head-3-body-item">
    <w:name w:val="Head-3-body-item"/>
    <w:basedOn w:val="Base-ND-Title-3"/>
    <w:uiPriority w:val="99"/>
  </w:style>
  <w:style w:type="paragraph" w:customStyle="1" w:styleId="Head-1-body-item-F">
    <w:name w:val="Head-1-body-item-F"/>
    <w:basedOn w:val="Base-ND-Title-1"/>
    <w:next w:val="Head-1-body-item"/>
    <w:uiPriority w:val="99"/>
  </w:style>
  <w:style w:type="paragraph" w:customStyle="1" w:styleId="Head-2-body-item-F">
    <w:name w:val="Head-2-body-item-F"/>
    <w:basedOn w:val="Base-ND-Title-2"/>
    <w:next w:val="Head-2-body-item"/>
    <w:uiPriority w:val="99"/>
  </w:style>
  <w:style w:type="paragraph" w:customStyle="1" w:styleId="Head-3-body-item-F">
    <w:name w:val="Head-3-body-item-F"/>
    <w:basedOn w:val="Base-ND-Title-3"/>
    <w:next w:val="Head-3-body-item"/>
    <w:uiPriority w:val="99"/>
  </w:style>
  <w:style w:type="paragraph" w:customStyle="1" w:styleId="Head-4-body-item-F">
    <w:name w:val="Head-4-body-item-F"/>
    <w:basedOn w:val="Base-ND-Title-4"/>
    <w:next w:val="Head-4-body-item"/>
    <w:uiPriority w:val="99"/>
  </w:style>
  <w:style w:type="paragraph" w:customStyle="1" w:styleId="Head-3-appendix-item-ANum">
    <w:name w:val="Head-3-appendix-item-ANum"/>
    <w:basedOn w:val="Base-ND-Title-4"/>
    <w:uiPriority w:val="99"/>
    <w:pPr>
      <w:ind w:left="0" w:firstLine="0"/>
    </w:pPr>
  </w:style>
  <w:style w:type="paragraph" w:customStyle="1" w:styleId="Appendix-Title-ANum">
    <w:name w:val="Appendix-Title-ANum"/>
    <w:basedOn w:val="Base-ND-Title-1"/>
    <w:uiPriority w:val="99"/>
    <w:pPr>
      <w:ind w:left="0" w:firstLine="0"/>
    </w:pPr>
  </w:style>
  <w:style w:type="paragraph" w:customStyle="1" w:styleId="Head-1-appendix-item-ANum">
    <w:name w:val="Head-1-appendix-item-ANum"/>
    <w:basedOn w:val="Base-ND-Title-2"/>
    <w:uiPriority w:val="99"/>
    <w:pPr>
      <w:ind w:left="0" w:firstLine="0"/>
    </w:pPr>
  </w:style>
  <w:style w:type="paragraph" w:customStyle="1" w:styleId="Head-2-appendix-item-ANum">
    <w:name w:val="Head-2-appendix-item-ANum"/>
    <w:basedOn w:val="Base-ND-Title-3"/>
    <w:uiPriority w:val="99"/>
    <w:pPr>
      <w:ind w:left="0" w:firstLine="0"/>
    </w:pPr>
  </w:style>
  <w:style w:type="paragraph" w:customStyle="1" w:styleId="Background-Image">
    <w:name w:val="Background-Image"/>
    <w:basedOn w:val="Normal"/>
    <w:uiPriority w:val="99"/>
    <w:pPr>
      <w:framePr w:wrap="auto" w:vAnchor="page" w:hAnchor="page" w:yAlign="top"/>
    </w:pPr>
  </w:style>
  <w:style w:type="paragraph" w:customStyle="1" w:styleId="Adjunct-Title-MNum-NP">
    <w:name w:val="Adjunct-Title-MNum-NP"/>
    <w:basedOn w:val="Base-ND-Title-1"/>
    <w:uiPriority w:val="99"/>
  </w:style>
  <w:style w:type="paragraph" w:customStyle="1" w:styleId="Head-1-adjunct-item-MNum">
    <w:name w:val="Head-1-adjunct-item-MNum"/>
    <w:basedOn w:val="Base-ND-Title-2"/>
    <w:uiPriority w:val="99"/>
  </w:style>
  <w:style w:type="paragraph" w:customStyle="1" w:styleId="Head-2-adjunct-item-MNum">
    <w:name w:val="Head-2-adjunct-item-MNum"/>
    <w:basedOn w:val="Base-ND-Title-3"/>
    <w:uiPriority w:val="99"/>
  </w:style>
  <w:style w:type="paragraph" w:customStyle="1" w:styleId="Head-3-adjunct-item-MNum">
    <w:name w:val="Head-3-adjunct-item-MNum"/>
    <w:basedOn w:val="Base-ND-Title-4"/>
    <w:uiPriority w:val="99"/>
  </w:style>
  <w:style w:type="paragraph" w:customStyle="1" w:styleId="Head-1-adjunct-item-MNum-F">
    <w:name w:val="Head-1-adjunct-item-MNum-F"/>
    <w:basedOn w:val="Base-ND-Title-2"/>
    <w:next w:val="Head-1-adjunct-item-MNum"/>
    <w:uiPriority w:val="99"/>
  </w:style>
  <w:style w:type="paragraph" w:customStyle="1" w:styleId="Head-2-adjunct-item-MNum-F">
    <w:name w:val="Head-2-adjunct-item-MNum-F"/>
    <w:basedOn w:val="Base-ND-Title-3"/>
    <w:next w:val="Head-2-adjunct-item-MNum"/>
    <w:uiPriority w:val="99"/>
  </w:style>
  <w:style w:type="paragraph" w:customStyle="1" w:styleId="Head-3-adjunct-item-MNum-F">
    <w:name w:val="Head-3-adjunct-item-MNum-F"/>
    <w:basedOn w:val="Base-ND-Title-4"/>
    <w:next w:val="Head-3-adjunct-item-MNum"/>
    <w:uiPriority w:val="99"/>
  </w:style>
  <w:style w:type="paragraph" w:customStyle="1" w:styleId="Head-1-front-item-F">
    <w:name w:val="Head-1-front-item-F"/>
    <w:basedOn w:val="Base-ND-Title-1"/>
    <w:uiPriority w:val="99"/>
  </w:style>
  <w:style w:type="paragraph" w:customStyle="1" w:styleId="Head-2-front-item-F">
    <w:name w:val="Head-2-front-item-F"/>
    <w:basedOn w:val="Base-ND-Title-2"/>
    <w:next w:val="Head-2-front-item"/>
    <w:uiPriority w:val="99"/>
  </w:style>
  <w:style w:type="paragraph" w:customStyle="1" w:styleId="Abbr-Title">
    <w:name w:val="Abbr-Title"/>
    <w:basedOn w:val="Adjunct-Title-MNum-NP"/>
    <w:uiPriority w:val="99"/>
  </w:style>
  <w:style w:type="paragraph" w:customStyle="1" w:styleId="Definition">
    <w:name w:val="Definition"/>
    <w:basedOn w:val="Base-ND-Para"/>
    <w:uiPriority w:val="99"/>
  </w:style>
  <w:style w:type="paragraph" w:customStyle="1" w:styleId="Abbreviation">
    <w:name w:val="Abbreviation"/>
    <w:basedOn w:val="Base-ND-Para"/>
    <w:uiPriority w:val="99"/>
    <w:pPr>
      <w:tabs>
        <w:tab w:val="left" w:pos="3402"/>
      </w:tabs>
      <w:spacing w:before="160"/>
      <w:ind w:left="3402" w:hanging="3402"/>
    </w:pPr>
  </w:style>
  <w:style w:type="paragraph" w:customStyle="1" w:styleId="Para-Shading">
    <w:name w:val="Para-Shading"/>
    <w:basedOn w:val="Base-ND-Para"/>
    <w:uiPriority w:val="99"/>
    <w:pPr>
      <w:pBdr>
        <w:top w:val="single" w:sz="4" w:space="1" w:color="auto"/>
        <w:left w:val="single" w:sz="4" w:space="4" w:color="auto"/>
        <w:bottom w:val="thinThickSmallGap" w:sz="24" w:space="1" w:color="auto"/>
        <w:right w:val="thinThickSmallGap" w:sz="24" w:space="4" w:color="auto"/>
      </w:pBdr>
      <w:shd w:val="clear" w:color="auto" w:fill="F3F3F3"/>
    </w:pPr>
  </w:style>
  <w:style w:type="paragraph" w:customStyle="1" w:styleId="No-Para-Shading">
    <w:name w:val="No-Para-Shading"/>
    <w:basedOn w:val="Base-ND-Para"/>
    <w:uiPriority w:val="99"/>
  </w:style>
  <w:style w:type="paragraph" w:customStyle="1" w:styleId="frame-shading">
    <w:name w:val="frame-shading"/>
    <w:basedOn w:val="No-Para-Shading"/>
    <w:uiPriority w:val="99"/>
    <w:pPr>
      <w:framePr w:wrap="notBeside" w:vAnchor="text" w:hAnchor="margin" w:y="1"/>
    </w:pPr>
  </w:style>
  <w:style w:type="paragraph" w:customStyle="1" w:styleId="NER-Rule-Title">
    <w:name w:val="NER-Rule-Title"/>
    <w:basedOn w:val="Base-NER-Num-Outline-Title-Indent"/>
    <w:uiPriority w:val="99"/>
    <w:pPr>
      <w:spacing w:before="240" w:after="60"/>
      <w:outlineLvl w:val="1"/>
    </w:pPr>
    <w:rPr>
      <w:sz w:val="26"/>
      <w:szCs w:val="26"/>
    </w:rPr>
  </w:style>
  <w:style w:type="paragraph" w:customStyle="1" w:styleId="Base-NER-Num-Outline-Title-Indent">
    <w:name w:val="Base-NER-Num-Outline-Title-Indent"/>
    <w:basedOn w:val="Base-NER-Title"/>
    <w:uiPriority w:val="99"/>
    <w:pPr>
      <w:tabs>
        <w:tab w:val="left" w:pos="1134"/>
      </w:tabs>
      <w:ind w:left="1134" w:hanging="1134"/>
    </w:pPr>
  </w:style>
  <w:style w:type="paragraph" w:customStyle="1" w:styleId="Base-NER-Title">
    <w:name w:val="Base-NER-Title"/>
    <w:basedOn w:val="Base-Rules-Title"/>
    <w:uiPriority w:val="99"/>
  </w:style>
  <w:style w:type="paragraph" w:customStyle="1" w:styleId="Base-Rules-Title">
    <w:name w:val="Base-Rules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NER-Ch-Title">
    <w:name w:val="NER-Ch-Title"/>
    <w:basedOn w:val="Base-NER-Num-Outline-Title-Indent"/>
    <w:uiPriority w:val="99"/>
    <w:pPr>
      <w:spacing w:before="240"/>
      <w:outlineLvl w:val="0"/>
    </w:pPr>
    <w:rPr>
      <w:sz w:val="32"/>
      <w:szCs w:val="32"/>
    </w:rPr>
  </w:style>
  <w:style w:type="paragraph" w:customStyle="1" w:styleId="NER-Ch-Sch-Title">
    <w:name w:val="NER-Ch-Sch-Title"/>
    <w:basedOn w:val="Base-NER-Num-Schedule-Title-indent"/>
    <w:uiPriority w:val="99"/>
    <w:pPr>
      <w:keepLines w:val="0"/>
      <w:spacing w:before="240" w:after="60"/>
      <w:outlineLvl w:val="1"/>
    </w:pPr>
    <w:rPr>
      <w:sz w:val="28"/>
      <w:szCs w:val="28"/>
    </w:rPr>
  </w:style>
  <w:style w:type="paragraph" w:customStyle="1" w:styleId="Base-NER-Num-Schedule-Title-indent">
    <w:name w:val="Base-NER-Num-Schedule-Title-indent"/>
    <w:basedOn w:val="Base-NER-Title"/>
    <w:uiPriority w:val="99"/>
    <w:pPr>
      <w:tabs>
        <w:tab w:val="left" w:pos="2268"/>
      </w:tabs>
      <w:ind w:left="2268" w:hanging="2268"/>
    </w:pPr>
  </w:style>
  <w:style w:type="paragraph" w:customStyle="1" w:styleId="NER-Pt-Title">
    <w:name w:val="NER-Pt-Title"/>
    <w:basedOn w:val="Base-NER-Num-Outline-Title-Indent"/>
    <w:uiPriority w:val="99"/>
    <w:pPr>
      <w:shd w:val="clear" w:color="auto" w:fill="D9D9D9"/>
      <w:spacing w:before="240" w:after="60"/>
      <w:outlineLvl w:val="1"/>
    </w:pPr>
    <w:rPr>
      <w:sz w:val="28"/>
      <w:szCs w:val="28"/>
    </w:rPr>
  </w:style>
  <w:style w:type="paragraph" w:customStyle="1" w:styleId="NER-Pt-Sch-Title">
    <w:name w:val="NER-Pt-Sch-Title"/>
    <w:basedOn w:val="Base-NER-Num-Schedule-Title-indent"/>
    <w:uiPriority w:val="99"/>
    <w:pPr>
      <w:spacing w:before="240" w:after="60"/>
      <w:outlineLvl w:val="2"/>
    </w:pPr>
    <w:rPr>
      <w:sz w:val="28"/>
      <w:szCs w:val="28"/>
    </w:rPr>
  </w:style>
  <w:style w:type="paragraph" w:customStyle="1" w:styleId="NER-Div-Title">
    <w:name w:val="NER-Div-Title"/>
    <w:basedOn w:val="Base-NER-Num-Schedule-Title-indent"/>
    <w:uiPriority w:val="99"/>
    <w:pPr>
      <w:spacing w:before="360"/>
    </w:pPr>
    <w:rPr>
      <w:sz w:val="28"/>
      <w:szCs w:val="28"/>
    </w:rPr>
  </w:style>
  <w:style w:type="paragraph" w:customStyle="1" w:styleId="NER-Cl-Title">
    <w:name w:val="NER-Cl-Title"/>
    <w:basedOn w:val="Base-NER-Num-Outline-Title-Indent"/>
    <w:uiPriority w:val="99"/>
    <w:pPr>
      <w:spacing w:before="240" w:after="60"/>
      <w:outlineLvl w:val="3"/>
    </w:pPr>
  </w:style>
  <w:style w:type="paragraph" w:customStyle="1" w:styleId="Tmp-Instr-Para">
    <w:name w:val="Tmp-Instr-Para"/>
    <w:basedOn w:val="Base-Tmp-Instr-Para"/>
    <w:uiPriority w:val="99"/>
  </w:style>
  <w:style w:type="paragraph" w:customStyle="1" w:styleId="Base-Tmp-Instr-Para">
    <w:name w:val="Base-Tmp-Instr-Para"/>
    <w:basedOn w:val="Base-ND-Inclusion-Para"/>
    <w:uiPriority w:val="99"/>
    <w:rPr>
      <w:color w:val="008000"/>
    </w:rPr>
  </w:style>
  <w:style w:type="paragraph" w:customStyle="1" w:styleId="Item-group-Title">
    <w:name w:val="Item-group-Title"/>
    <w:basedOn w:val="Base-ND-Title"/>
    <w:uiPriority w:val="99"/>
    <w:pPr>
      <w:spacing w:before="220"/>
    </w:pPr>
    <w:rPr>
      <w:sz w:val="22"/>
      <w:szCs w:val="22"/>
    </w:rPr>
  </w:style>
  <w:style w:type="paragraph" w:customStyle="1" w:styleId="Tmp-Instr-Para-1">
    <w:name w:val="Tmp-Instr-Para-1"/>
    <w:basedOn w:val="Base-Tmp-Instr-Para"/>
    <w:uiPriority w:val="99"/>
    <w:pPr>
      <w:ind w:left="567"/>
    </w:pPr>
  </w:style>
  <w:style w:type="paragraph" w:customStyle="1" w:styleId="Dr-Note-public-Para">
    <w:name w:val="Dr-Note-public-Para"/>
    <w:basedOn w:val="Base-Dr-Note-public-Para"/>
    <w:uiPriority w:val="99"/>
  </w:style>
  <w:style w:type="paragraph" w:customStyle="1" w:styleId="Base-Dr-Note-public-Para">
    <w:name w:val="Base-Dr-Note-public-Para"/>
    <w:basedOn w:val="Base-ND-Inclusion-Para"/>
    <w:uiPriority w:val="99"/>
    <w:rPr>
      <w:color w:val="0000FF"/>
    </w:rPr>
  </w:style>
  <w:style w:type="paragraph" w:customStyle="1" w:styleId="Dr-Note-public-Para-In-1">
    <w:name w:val="Dr-Note-public-Para-In-1"/>
    <w:basedOn w:val="Base-Dr-Note-public-Para"/>
    <w:uiPriority w:val="99"/>
    <w:pPr>
      <w:ind w:left="567"/>
    </w:pPr>
  </w:style>
  <w:style w:type="paragraph" w:customStyle="1" w:styleId="Dr-Note-internal-Para">
    <w:name w:val="Dr-Note-internal-Para"/>
    <w:basedOn w:val="Base-Dr-Note-internal-Para"/>
    <w:uiPriority w:val="99"/>
  </w:style>
  <w:style w:type="paragraph" w:customStyle="1" w:styleId="Base-Dr-Note-internal-Para">
    <w:name w:val="Base-Dr-Note-internal-Para"/>
    <w:basedOn w:val="Base-ND-Inclusion-Para"/>
    <w:uiPriority w:val="99"/>
    <w:rPr>
      <w:color w:val="FF0000"/>
    </w:rPr>
  </w:style>
  <w:style w:type="paragraph" w:customStyle="1" w:styleId="Dr-Note-internal-Para-In-1">
    <w:name w:val="Dr-Note-internal-Para-In-1"/>
    <w:basedOn w:val="Base-Dr-Note-internal-Para"/>
    <w:uiPriority w:val="99"/>
    <w:pPr>
      <w:ind w:left="567"/>
    </w:pPr>
  </w:style>
  <w:style w:type="paragraph" w:customStyle="1" w:styleId="Box-Title-ANum">
    <w:name w:val="Box-Title-ANum"/>
    <w:basedOn w:val="Box-Title-MNum"/>
    <w:uiPriority w:val="99"/>
  </w:style>
  <w:style w:type="paragraph" w:customStyle="1" w:styleId="Box-Title-MNum">
    <w:name w:val="Box-Title-MNum"/>
    <w:basedOn w:val="Inclusion-Title-MNum"/>
    <w:uiPriority w:val="99"/>
  </w:style>
  <w:style w:type="paragraph" w:customStyle="1" w:styleId="Inclusion-Title-MNum">
    <w:name w:val="Inclusion-Title-MNum"/>
    <w:basedOn w:val="Inclusion-Title-U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DateofDraft">
    <w:name w:val="Date of Draft"/>
    <w:uiPriority w:val="99"/>
    <w:pPr>
      <w:autoSpaceDE w:val="0"/>
      <w:autoSpaceDN w:val="0"/>
      <w:adjustRightInd w:val="0"/>
      <w:spacing w:before="280" w:after="0" w:line="240" w:lineRule="auto"/>
    </w:pPr>
    <w:rPr>
      <w:rFonts w:ascii="Arial" w:hAnsi="Arial" w:cs="Arial"/>
      <w:color w:val="000000"/>
    </w:rPr>
  </w:style>
  <w:style w:type="paragraph" w:customStyle="1" w:styleId="Doc-Title">
    <w:name w:val="Doc-Title"/>
    <w:basedOn w:val="Base-ND-Title"/>
    <w:uiPriority w:val="99"/>
    <w:pPr>
      <w:spacing w:before="4580" w:after="60"/>
      <w:ind w:right="1418"/>
    </w:pPr>
    <w:rPr>
      <w:b w:val="0"/>
      <w:bCs w:val="0"/>
      <w:caps/>
      <w:color w:val="00A4E4"/>
      <w:sz w:val="35"/>
      <w:szCs w:val="35"/>
    </w:rPr>
  </w:style>
  <w:style w:type="paragraph" w:customStyle="1" w:styleId="Doc-Sub-Title">
    <w:name w:val="Doc-Sub-Title"/>
    <w:basedOn w:val="Base-ND-Title"/>
    <w:uiPriority w:val="99"/>
    <w:pPr>
      <w:spacing w:before="200" w:after="60"/>
      <w:ind w:right="1418"/>
    </w:pPr>
    <w:rPr>
      <w:rFonts w:ascii="Arial" w:hAnsi="Arial" w:cs="Arial"/>
      <w:b w:val="0"/>
      <w:bCs w:val="0"/>
      <w:sz w:val="36"/>
      <w:szCs w:val="36"/>
    </w:rPr>
  </w:style>
  <w:style w:type="paragraph" w:customStyle="1" w:styleId="Rule-Proponent-Title">
    <w:name w:val="Rule-Proponent-Title"/>
    <w:basedOn w:val="Base-ND-Title"/>
    <w:uiPriority w:val="99"/>
    <w:pPr>
      <w:spacing w:before="220" w:after="60"/>
    </w:pPr>
    <w:rPr>
      <w:b w:val="0"/>
      <w:bCs w:val="0"/>
      <w:sz w:val="22"/>
      <w:szCs w:val="22"/>
    </w:rPr>
  </w:style>
  <w:style w:type="paragraph" w:customStyle="1" w:styleId="Rule-Proponent-Name">
    <w:name w:val="Rule-Proponent-Nam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Doc-Date">
    <w:name w:val="Doc-Date"/>
    <w:basedOn w:val="Base-ND-Title"/>
    <w:uiPriority w:val="99"/>
    <w:pPr>
      <w:spacing w:before="280" w:after="60"/>
    </w:pPr>
    <w:rPr>
      <w:rFonts w:ascii="Arial" w:hAnsi="Arial" w:cs="Arial"/>
      <w:b w:val="0"/>
      <w:bCs w:val="0"/>
      <w:sz w:val="22"/>
      <w:szCs w:val="22"/>
    </w:rPr>
  </w:style>
  <w:style w:type="paragraph" w:customStyle="1" w:styleId="Signatory">
    <w:name w:val="Signatory"/>
    <w:basedOn w:val="Base-ND-Title"/>
    <w:uiPriority w:val="99"/>
    <w:pPr>
      <w:spacing w:before="3000"/>
    </w:pPr>
    <w:rPr>
      <w:b w:val="0"/>
      <w:bCs w:val="0"/>
      <w:caps/>
      <w:sz w:val="22"/>
      <w:szCs w:val="22"/>
    </w:rPr>
  </w:style>
  <w:style w:type="paragraph" w:customStyle="1" w:styleId="Signatory-Title">
    <w:name w:val="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On-Behalf">
    <w:name w:val="On-Behalf"/>
    <w:basedOn w:val="Base-ND-Title"/>
    <w:uiPriority w:val="99"/>
    <w:rPr>
      <w:rFonts w:ascii="Arial" w:hAnsi="Arial" w:cs="Arial"/>
      <w:b w:val="0"/>
      <w:bCs w:val="0"/>
      <w:sz w:val="16"/>
      <w:szCs w:val="16"/>
    </w:rPr>
  </w:style>
  <w:style w:type="paragraph" w:customStyle="1" w:styleId="General-External-Doc-Title">
    <w:name w:val="General-External-Doc-Title"/>
    <w:basedOn w:val="Normal"/>
    <w:uiPriority w:val="99"/>
    <w:pPr>
      <w:spacing w:before="600" w:after="40"/>
    </w:pPr>
    <w:rPr>
      <w:rFonts w:ascii="Arial" w:hAnsi="Arial" w:cs="Arial"/>
      <w:b/>
      <w:bCs/>
      <w:caps/>
      <w:color w:val="00A4E4"/>
      <w:sz w:val="35"/>
      <w:szCs w:val="35"/>
    </w:rPr>
  </w:style>
  <w:style w:type="paragraph" w:customStyle="1" w:styleId="General-External-Publisher">
    <w:name w:val="General-External-Publisher"/>
    <w:basedOn w:val="Base-ND-Title"/>
    <w:uiPriority w:val="99"/>
    <w:pPr>
      <w:spacing w:before="3380"/>
    </w:pPr>
    <w:rPr>
      <w:b w:val="0"/>
      <w:bCs w:val="0"/>
      <w:sz w:val="22"/>
      <w:szCs w:val="22"/>
    </w:rPr>
  </w:style>
  <w:style w:type="paragraph" w:customStyle="1" w:styleId="General-External-Project-Name-F">
    <w:name w:val="General-External-Project-Name-F"/>
    <w:basedOn w:val="Base-ND-Title"/>
    <w:uiPriority w:val="99"/>
    <w:pPr>
      <w:spacing w:before="40"/>
    </w:pPr>
    <w:rPr>
      <w:sz w:val="36"/>
      <w:szCs w:val="36"/>
    </w:rPr>
  </w:style>
  <w:style w:type="paragraph" w:customStyle="1" w:styleId="General-External-Project-Name">
    <w:name w:val="General-External-Project-Name"/>
    <w:basedOn w:val="Base-ND-Title"/>
    <w:uiPriority w:val="99"/>
    <w:pPr>
      <w:spacing w:before="40" w:after="580"/>
    </w:pPr>
    <w:rPr>
      <w:rFonts w:ascii="Arial" w:hAnsi="Arial" w:cs="Arial"/>
      <w:b w:val="0"/>
      <w:bCs w:val="0"/>
      <w:sz w:val="36"/>
      <w:szCs w:val="36"/>
    </w:rPr>
  </w:style>
  <w:style w:type="paragraph" w:customStyle="1" w:styleId="General-External-Doc-Desc">
    <w:name w:val="General-External-Doc-Desc"/>
    <w:basedOn w:val="Normal"/>
    <w:uiPriority w:val="99"/>
    <w:rPr>
      <w:rFonts w:ascii="Arial" w:hAnsi="Arial" w:cs="Arial"/>
      <w:sz w:val="22"/>
      <w:szCs w:val="22"/>
    </w:rPr>
  </w:style>
  <w:style w:type="paragraph" w:customStyle="1" w:styleId="General-External-Signatory">
    <w:name w:val="General-External-Signatory"/>
    <w:basedOn w:val="Base-ND-Title"/>
    <w:uiPriority w:val="99"/>
    <w:pPr>
      <w:spacing w:after="40"/>
    </w:pPr>
    <w:rPr>
      <w:sz w:val="22"/>
      <w:szCs w:val="22"/>
    </w:rPr>
  </w:style>
  <w:style w:type="paragraph" w:customStyle="1" w:styleId="General-External-Signatory-Title">
    <w:name w:val="General-External-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General-Internal-Doc-Title">
    <w:name w:val="General-Internal-Doc-Title"/>
    <w:basedOn w:val="Normal"/>
    <w:uiPriority w:val="99"/>
    <w:pPr>
      <w:spacing w:line="980" w:lineRule="exact"/>
    </w:pPr>
    <w:rPr>
      <w:rFonts w:ascii="Arial" w:hAnsi="Arial" w:cs="Arial"/>
      <w:b/>
      <w:bCs/>
      <w:color w:val="FFFFFF"/>
      <w:sz w:val="108"/>
      <w:szCs w:val="108"/>
    </w:rPr>
  </w:style>
  <w:style w:type="paragraph" w:customStyle="1" w:styleId="General-Internal-Publisher">
    <w:name w:val="General-Internal-Publisher"/>
    <w:basedOn w:val="Base-ND-Title"/>
    <w:uiPriority w:val="99"/>
    <w:rPr>
      <w:caps/>
      <w:color w:val="FFFFFF"/>
      <w:sz w:val="18"/>
      <w:szCs w:val="18"/>
    </w:rPr>
  </w:style>
  <w:style w:type="paragraph" w:customStyle="1" w:styleId="Commissioner-Title">
    <w:name w:val="Commissioner-Title"/>
    <w:basedOn w:val="Rule-Proponent-Title"/>
    <w:uiPriority w:val="99"/>
  </w:style>
  <w:style w:type="paragraph" w:customStyle="1" w:styleId="Commissioner-Name">
    <w:name w:val="Commissioner-Name"/>
    <w:basedOn w:val="Rule-Proponent-Name"/>
    <w:uiPriority w:val="99"/>
  </w:style>
  <w:style w:type="paragraph" w:customStyle="1" w:styleId="Review-Cover-Page-Footer">
    <w:name w:val="Review-Cover-Page-Footer"/>
    <w:basedOn w:val="Base-ND-Para"/>
    <w:uiPriority w:val="99"/>
    <w:pPr>
      <w:framePr w:w="8505" w:wrap="auto" w:vAnchor="page" w:hAnchor="margin" w:y="15594"/>
      <w:spacing w:before="0" w:after="0" w:line="240" w:lineRule="auto"/>
    </w:pPr>
    <w:rPr>
      <w:rFonts w:ascii="Arial" w:hAnsi="Arial" w:cs="Arial"/>
    </w:rPr>
  </w:style>
  <w:style w:type="paragraph" w:customStyle="1" w:styleId="Doc-Notice-Title">
    <w:name w:val="Doc-Notice-Title"/>
    <w:basedOn w:val="Base-ND-Title"/>
    <w:uiPriority w:val="99"/>
    <w:pPr>
      <w:spacing w:after="720"/>
      <w:jc w:val="center"/>
    </w:pPr>
    <w:rPr>
      <w:b w:val="0"/>
      <w:bCs w:val="0"/>
      <w:sz w:val="36"/>
      <w:szCs w:val="36"/>
    </w:rPr>
  </w:style>
  <w:style w:type="paragraph" w:customStyle="1" w:styleId="Am-NER-Cover-Rule-Name">
    <w:name w:val="Am-NER-Cover-Rule-Name"/>
    <w:basedOn w:val="Base-Am-NER-Title"/>
    <w:uiPriority w:val="99"/>
    <w:pPr>
      <w:spacing w:before="120"/>
    </w:pPr>
  </w:style>
  <w:style w:type="paragraph" w:customStyle="1" w:styleId="Base-Am-NER-Title">
    <w:name w:val="Base-Am-NER-Title"/>
    <w:uiPriority w:val="99"/>
    <w:pPr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Base-Rules-Para">
    <w:name w:val="Base-Rules-Para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applied-laws">
    <w:name w:val="Cover-applied-laws"/>
    <w:uiPriority w:val="99"/>
    <w:pPr>
      <w:tabs>
        <w:tab w:val="left" w:pos="2268"/>
      </w:tabs>
      <w:autoSpaceDE w:val="0"/>
      <w:autoSpaceDN w:val="0"/>
      <w:adjustRightInd w:val="0"/>
      <w:spacing w:before="40" w:after="0" w:line="240" w:lineRule="auto"/>
      <w:ind w:left="2269" w:hanging="85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made-under">
    <w:name w:val="Cover-made-under"/>
    <w:uiPriority w:val="99"/>
    <w:pPr>
      <w:autoSpaceDE w:val="0"/>
      <w:autoSpaceDN w:val="0"/>
      <w:adjustRightInd w:val="0"/>
      <w:spacing w:before="240" w:after="24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">
    <w:name w:val="Cover-Signatory"/>
    <w:uiPriority w:val="99"/>
    <w:pPr>
      <w:autoSpaceDE w:val="0"/>
      <w:autoSpaceDN w:val="0"/>
      <w:adjustRightInd w:val="0"/>
      <w:spacing w:before="144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-Info">
    <w:name w:val="Cover-Signatory-Info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Body-Cl-Title-MNum">
    <w:name w:val="Am-NER-Body-Cl-Title-MNum"/>
    <w:basedOn w:val="Base-Am-NER-Num-Title-Indent"/>
    <w:uiPriority w:val="99"/>
    <w:pPr>
      <w:keepNext/>
      <w:spacing w:before="360"/>
    </w:pPr>
  </w:style>
  <w:style w:type="paragraph" w:customStyle="1" w:styleId="Base-Am-NER-Num-Title-Indent">
    <w:name w:val="Base-Am-NER-Num-Title-Indent"/>
    <w:basedOn w:val="Base-Am-NER-Title"/>
    <w:uiPriority w:val="99"/>
    <w:pPr>
      <w:tabs>
        <w:tab w:val="left" w:pos="567"/>
      </w:tabs>
      <w:ind w:left="567" w:hanging="567"/>
    </w:pPr>
  </w:style>
  <w:style w:type="paragraph" w:customStyle="1" w:styleId="Am-NER-Sch-Title-MNum">
    <w:name w:val="Am-NER-Sch-Title-MNum"/>
    <w:basedOn w:val="Base-Am-NER-Title"/>
    <w:uiPriority w:val="99"/>
    <w:pPr>
      <w:tabs>
        <w:tab w:val="left" w:pos="2268"/>
      </w:tabs>
      <w:ind w:left="2268" w:hanging="2268"/>
    </w:pPr>
  </w:style>
  <w:style w:type="paragraph" w:customStyle="1" w:styleId="Am-NER-Sch-Source">
    <w:name w:val="Am-NER-Sch-Source"/>
    <w:basedOn w:val="Base-Am-NER-Para"/>
    <w:uiPriority w:val="99"/>
    <w:pPr>
      <w:tabs>
        <w:tab w:val="left" w:pos="5041"/>
      </w:tabs>
      <w:spacing w:before="240"/>
      <w:jc w:val="right"/>
    </w:pPr>
  </w:style>
  <w:style w:type="paragraph" w:customStyle="1" w:styleId="Base-Am-NER-Para">
    <w:name w:val="Base-Am-NE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Sch-Cl-Title-MNum">
    <w:name w:val="Am-NER-Sch-Cl-Title-MNum"/>
    <w:basedOn w:val="Base-Am-NER-Num-Title-Indent"/>
    <w:uiPriority w:val="99"/>
    <w:pPr>
      <w:tabs>
        <w:tab w:val="left" w:pos="2835"/>
      </w:tabs>
      <w:spacing w:before="240"/>
    </w:pPr>
  </w:style>
  <w:style w:type="paragraph" w:customStyle="1" w:styleId="Am-NER-Para-In-1">
    <w:name w:val="Am-NER-Para-In-1"/>
    <w:basedOn w:val="Base-Am-NER-Para"/>
    <w:uiPriority w:val="99"/>
    <w:pPr>
      <w:ind w:left="567"/>
    </w:pPr>
  </w:style>
  <w:style w:type="paragraph" w:customStyle="1" w:styleId="Am-NER-Para-In-2">
    <w:name w:val="Am-NER-Para-In-2"/>
    <w:basedOn w:val="Base-Am-NER-Para"/>
    <w:uiPriority w:val="99"/>
    <w:pPr>
      <w:ind w:left="1134"/>
    </w:pPr>
  </w:style>
  <w:style w:type="paragraph" w:customStyle="1" w:styleId="Am-NER-Para-In-3">
    <w:name w:val="Am-NER-Para-In-3"/>
    <w:basedOn w:val="Base-Am-NER-Para"/>
    <w:uiPriority w:val="99"/>
    <w:pPr>
      <w:ind w:left="1701"/>
    </w:pPr>
  </w:style>
  <w:style w:type="paragraph" w:customStyle="1" w:styleId="Am-NER-Para-In-4">
    <w:name w:val="Am-NER-Para-In-4"/>
    <w:basedOn w:val="Base-Am-NER-Para"/>
    <w:uiPriority w:val="99"/>
    <w:pPr>
      <w:ind w:left="2268"/>
    </w:pPr>
  </w:style>
  <w:style w:type="paragraph" w:customStyle="1" w:styleId="Sch-Source">
    <w:name w:val="Sch-Source"/>
    <w:basedOn w:val="Base-ND-Para"/>
    <w:uiPriority w:val="99"/>
    <w:pPr>
      <w:tabs>
        <w:tab w:val="left" w:pos="5041"/>
      </w:tabs>
      <w:spacing w:before="24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NER-RC-Para-In-1">
    <w:name w:val="NER-RC-Para-In-1"/>
    <w:basedOn w:val="Base-NER-RC-Para"/>
    <w:uiPriority w:val="99"/>
    <w:pPr>
      <w:ind w:left="1701"/>
    </w:pPr>
  </w:style>
  <w:style w:type="paragraph" w:customStyle="1" w:styleId="Base-NER-RC-Para">
    <w:name w:val="Base-NER-RC-Para"/>
    <w:basedOn w:val="Base-NER-Para"/>
    <w:uiPriority w:val="99"/>
    <w:pPr>
      <w:ind w:left="1134"/>
    </w:pPr>
  </w:style>
  <w:style w:type="paragraph" w:customStyle="1" w:styleId="Base-NER-Para">
    <w:name w:val="Base-NE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Doc-Title">
    <w:name w:val="NER-Doc-Title"/>
    <w:basedOn w:val="Base-NER-Title"/>
    <w:uiPriority w:val="99"/>
    <w:pPr>
      <w:jc w:val="center"/>
    </w:pPr>
    <w:rPr>
      <w:rFonts w:ascii="Arial" w:hAnsi="Arial" w:cs="Arial"/>
      <w:sz w:val="52"/>
      <w:szCs w:val="52"/>
    </w:rPr>
  </w:style>
  <w:style w:type="paragraph" w:customStyle="1" w:styleId="NER-Doc-Version">
    <w:name w:val="NER-Doc-Version"/>
    <w:basedOn w:val="Base-NER-Title"/>
    <w:uiPriority w:val="99"/>
    <w:pPr>
      <w:spacing w:before="120" w:after="12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NER-RC-Para-In-2">
    <w:name w:val="NER-RC-Para-In-2"/>
    <w:basedOn w:val="Base-NER-RC-Para"/>
    <w:uiPriority w:val="99"/>
    <w:pPr>
      <w:ind w:left="2268"/>
    </w:pPr>
  </w:style>
  <w:style w:type="paragraph" w:customStyle="1" w:styleId="NER-RC-Para-In-3">
    <w:name w:val="NER-RC-Para-In-3"/>
    <w:basedOn w:val="Base-NER-RC-Para"/>
    <w:uiPriority w:val="99"/>
    <w:pPr>
      <w:ind w:left="2835"/>
    </w:pPr>
  </w:style>
  <w:style w:type="paragraph" w:customStyle="1" w:styleId="NER-RC-Para-In-4">
    <w:name w:val="NER-RC-Para-In-4"/>
    <w:basedOn w:val="Base-NER-RC-Para"/>
    <w:uiPriority w:val="99"/>
    <w:pPr>
      <w:ind w:left="3402"/>
    </w:pPr>
  </w:style>
  <w:style w:type="paragraph" w:customStyle="1" w:styleId="NER-RC-Para">
    <w:name w:val="NER-RC-Para"/>
    <w:basedOn w:val="Base-NER-RC-Para"/>
    <w:uiPriority w:val="99"/>
  </w:style>
  <w:style w:type="paragraph" w:customStyle="1" w:styleId="NER-Doc-Frt-Title">
    <w:name w:val="NER-Doc-Frt-Title"/>
    <w:basedOn w:val="Base-NER-Title"/>
    <w:uiPriority w:val="99"/>
    <w:pPr>
      <w:spacing w:before="480"/>
    </w:pPr>
  </w:style>
  <w:style w:type="paragraph" w:customStyle="1" w:styleId="NER-Ch-Num">
    <w:name w:val="NER-Ch-Num"/>
    <w:basedOn w:val="Base-NE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NER-Contents-Title">
    <w:name w:val="NER-Contents-Title"/>
    <w:basedOn w:val="Base-NER-Title"/>
    <w:uiPriority w:val="99"/>
    <w:pPr>
      <w:spacing w:after="240"/>
    </w:pPr>
    <w:rPr>
      <w:rFonts w:ascii="Times New Roman" w:hAnsi="Times New Roman" w:cs="Times New Roman"/>
      <w:caps/>
    </w:rPr>
  </w:style>
  <w:style w:type="paragraph" w:customStyle="1" w:styleId="NER-Para">
    <w:name w:val="NER-Para"/>
    <w:basedOn w:val="Base-NER-Para"/>
    <w:uiPriority w:val="99"/>
  </w:style>
  <w:style w:type="paragraph" w:customStyle="1" w:styleId="NER-Para-In-1">
    <w:name w:val="NER-Para-In-1"/>
    <w:basedOn w:val="Base-NER-Para"/>
    <w:uiPriority w:val="99"/>
    <w:pPr>
      <w:ind w:left="567"/>
    </w:pPr>
  </w:style>
  <w:style w:type="paragraph" w:customStyle="1" w:styleId="NER-Table-Anchor">
    <w:name w:val="NER-Table-Anchor"/>
    <w:basedOn w:val="Base-NER-RC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Source-Note-Para">
    <w:name w:val="Source-Note-Para"/>
    <w:basedOn w:val="Base-ND-Inclusion-Para"/>
    <w:uiPriority w:val="99"/>
    <w:rPr>
      <w:sz w:val="18"/>
      <w:szCs w:val="18"/>
    </w:rPr>
  </w:style>
  <w:style w:type="paragraph" w:customStyle="1" w:styleId="NER-Definition">
    <w:name w:val="NER-Definition"/>
    <w:basedOn w:val="Base-NER-RC-Para"/>
    <w:uiPriority w:val="99"/>
  </w:style>
  <w:style w:type="paragraph" w:styleId="TOC7">
    <w:name w:val="toc 7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styleId="TOC8">
    <w:name w:val="toc 8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9">
    <w:name w:val="toc 9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5">
    <w:name w:val="toc 5"/>
    <w:basedOn w:val="Normal"/>
    <w:next w:val="Normal"/>
    <w:uiPriority w:val="99"/>
    <w:pPr>
      <w:tabs>
        <w:tab w:val="left" w:pos="1701"/>
        <w:tab w:val="right" w:leader="dot" w:pos="9073"/>
      </w:tabs>
      <w:spacing w:before="360"/>
      <w:ind w:left="1701" w:right="851" w:hanging="1701"/>
      <w:jc w:val="both"/>
    </w:pPr>
    <w:rPr>
      <w:b/>
      <w:bCs/>
      <w:sz w:val="28"/>
      <w:szCs w:val="28"/>
    </w:rPr>
  </w:style>
  <w:style w:type="paragraph" w:styleId="TOC6">
    <w:name w:val="toc 6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customStyle="1" w:styleId="Base-NER-Table-Title">
    <w:name w:val="Base-NER-Table-Title"/>
    <w:basedOn w:val="Base-NE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NER-Table-Title-UNum">
    <w:name w:val="NER-Table-Title-UNum"/>
    <w:basedOn w:val="Base-NER-Table-Title"/>
    <w:uiPriority w:val="99"/>
  </w:style>
  <w:style w:type="paragraph" w:customStyle="1" w:styleId="NER-RC-List-1-MNum">
    <w:name w:val="NER-RC-List-1-MNum"/>
    <w:basedOn w:val="NER-RC-List-1-UNum"/>
    <w:uiPriority w:val="99"/>
    <w:pPr>
      <w:tabs>
        <w:tab w:val="left" w:pos="1701"/>
      </w:tabs>
      <w:ind w:left="1701" w:hanging="567"/>
    </w:pPr>
  </w:style>
  <w:style w:type="paragraph" w:customStyle="1" w:styleId="NER-RC-List-1-UNum">
    <w:name w:val="NER-RC-List-1-UNum"/>
    <w:basedOn w:val="Base-NER-RC-Para"/>
    <w:uiPriority w:val="99"/>
  </w:style>
  <w:style w:type="paragraph" w:customStyle="1" w:styleId="NER-RC-List-2-MNum">
    <w:name w:val="NER-RC-List-2-MNum"/>
    <w:basedOn w:val="NER-RC-List-2-UNum"/>
    <w:uiPriority w:val="99"/>
    <w:pPr>
      <w:tabs>
        <w:tab w:val="left" w:pos="2268"/>
      </w:tabs>
      <w:ind w:left="2268" w:hanging="567"/>
    </w:pPr>
  </w:style>
  <w:style w:type="paragraph" w:customStyle="1" w:styleId="NER-RC-List-2-UNum">
    <w:name w:val="NER-RC-List-2-UNum"/>
    <w:basedOn w:val="Base-NER-RC-Para"/>
    <w:uiPriority w:val="99"/>
    <w:pPr>
      <w:ind w:left="1701"/>
    </w:pPr>
  </w:style>
  <w:style w:type="paragraph" w:customStyle="1" w:styleId="NER-RC-List-3-MNum">
    <w:name w:val="NER-RC-List-3-MNum"/>
    <w:basedOn w:val="NER-RC-List-3-UNum"/>
    <w:uiPriority w:val="99"/>
    <w:pPr>
      <w:tabs>
        <w:tab w:val="left" w:pos="2835"/>
      </w:tabs>
      <w:ind w:left="2835" w:hanging="567"/>
    </w:pPr>
  </w:style>
  <w:style w:type="paragraph" w:customStyle="1" w:styleId="NER-RC-List-3-UNum">
    <w:name w:val="NER-RC-List-3-UNum"/>
    <w:basedOn w:val="Base-NER-RC-Para"/>
    <w:uiPriority w:val="99"/>
    <w:pPr>
      <w:ind w:left="2268"/>
    </w:pPr>
  </w:style>
  <w:style w:type="paragraph" w:customStyle="1" w:styleId="NER-RC-List-4-MNum">
    <w:name w:val="NER-RC-List-4-MNum"/>
    <w:basedOn w:val="NER-RC-List-4-UNum"/>
    <w:uiPriority w:val="99"/>
    <w:pPr>
      <w:tabs>
        <w:tab w:val="left" w:pos="3402"/>
      </w:tabs>
      <w:ind w:left="3402" w:hanging="567"/>
    </w:pPr>
  </w:style>
  <w:style w:type="paragraph" w:customStyle="1" w:styleId="NER-RC-List-4-UNum">
    <w:name w:val="NER-RC-List-4-UNum"/>
    <w:basedOn w:val="Base-NER-RC-Para"/>
    <w:uiPriority w:val="99"/>
    <w:pPr>
      <w:ind w:left="2835"/>
    </w:pPr>
  </w:style>
  <w:style w:type="paragraph" w:customStyle="1" w:styleId="NER-RC-Item-group-Title">
    <w:name w:val="NER-RC-Item-group-Title"/>
    <w:basedOn w:val="Base-NER-Title"/>
    <w:uiPriority w:val="99"/>
    <w:pPr>
      <w:spacing w:before="220"/>
      <w:ind w:left="1134"/>
    </w:pPr>
    <w:rPr>
      <w:sz w:val="22"/>
      <w:szCs w:val="22"/>
    </w:rPr>
  </w:style>
  <w:style w:type="paragraph" w:customStyle="1" w:styleId="NER-Term-Global">
    <w:name w:val="NER-Term-Global"/>
    <w:basedOn w:val="Base-NER-Para"/>
    <w:uiPriority w:val="99"/>
    <w:pPr>
      <w:keepNext/>
      <w:keepLines/>
      <w:spacing w:after="60"/>
    </w:pPr>
    <w:rPr>
      <w:b/>
      <w:bCs/>
      <w:i/>
      <w:iCs/>
    </w:rPr>
  </w:style>
  <w:style w:type="paragraph" w:customStyle="1" w:styleId="Am-NER-Body-Rule-Name">
    <w:name w:val="Am-NER-Body-Rule-Name"/>
    <w:basedOn w:val="Base-Am-NER-Title"/>
    <w:uiPriority w:val="99"/>
    <w:pPr>
      <w:spacing w:before="480"/>
    </w:pPr>
  </w:style>
  <w:style w:type="paragraph" w:customStyle="1" w:styleId="NER-Term-Chapter">
    <w:name w:val="NER-Term-Chapter"/>
    <w:basedOn w:val="Base-NER-Para"/>
    <w:uiPriority w:val="99"/>
    <w:pPr>
      <w:keepNext/>
      <w:keepLines/>
      <w:spacing w:before="60" w:after="60"/>
    </w:pPr>
    <w:rPr>
      <w:b/>
      <w:bCs/>
    </w:rPr>
  </w:style>
  <w:style w:type="paragraph" w:customStyle="1" w:styleId="expEndOfToc">
    <w:name w:val="exp_End_Of_Toc"/>
    <w:basedOn w:val="Normal"/>
    <w:uiPriority w:val="99"/>
    <w:rPr>
      <w:color w:val="FFFFFF"/>
      <w:sz w:val="2"/>
      <w:szCs w:val="2"/>
    </w:rPr>
  </w:style>
  <w:style w:type="paragraph" w:customStyle="1" w:styleId="Base-NER-Figure-Title">
    <w:name w:val="Base-NER-Figure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ig-Title-UNum-PgWide">
    <w:name w:val="NER-Fig-Title-UNum-PgWide"/>
    <w:basedOn w:val="Base-NER-Figure-Title"/>
    <w:uiPriority w:val="99"/>
    <w:pPr>
      <w:ind w:left="0"/>
    </w:pPr>
  </w:style>
  <w:style w:type="paragraph" w:customStyle="1" w:styleId="NER-Fig-Title-UNum">
    <w:name w:val="NER-Fig-Title-UNum"/>
    <w:basedOn w:val="Base-NER-Figure-Title"/>
    <w:uiPriority w:val="99"/>
  </w:style>
  <w:style w:type="paragraph" w:customStyle="1" w:styleId="NER-Fig-Title-UNum-In-1">
    <w:name w:val="NER-Fig-Title-UNum-In-1"/>
    <w:basedOn w:val="Base-NER-Figure-Title"/>
    <w:uiPriority w:val="99"/>
    <w:pPr>
      <w:ind w:left="1701"/>
    </w:pPr>
  </w:style>
  <w:style w:type="paragraph" w:customStyle="1" w:styleId="NER-Fig-Title-UNum-In-2">
    <w:name w:val="NER-Fig-Title-UNum-In-2"/>
    <w:basedOn w:val="Base-NER-Figure-Title"/>
    <w:uiPriority w:val="99"/>
    <w:pPr>
      <w:ind w:left="2268"/>
    </w:pPr>
  </w:style>
  <w:style w:type="paragraph" w:customStyle="1" w:styleId="NER-Fig-Title-UNum-In-3">
    <w:name w:val="NER-Fig-Title-UNum-In-3"/>
    <w:basedOn w:val="Base-NER-Figure-Title"/>
    <w:uiPriority w:val="99"/>
    <w:pPr>
      <w:ind w:left="2835"/>
    </w:pPr>
  </w:style>
  <w:style w:type="paragraph" w:customStyle="1" w:styleId="NER-Fig-Title-UNum-In-4">
    <w:name w:val="NER-Fig-Title-UNum-In-4"/>
    <w:basedOn w:val="Base-NER-Figure-Title"/>
    <w:uiPriority w:val="99"/>
    <w:pPr>
      <w:ind w:left="3402"/>
    </w:pPr>
  </w:style>
  <w:style w:type="paragraph" w:customStyle="1" w:styleId="NER-Fig-Title-MNum-PgWide">
    <w:name w:val="NER-Fig-Title-MNum-PgWide"/>
    <w:basedOn w:val="NER-Fig-Title-UNum-PgWide"/>
    <w:uiPriority w:val="99"/>
    <w:pPr>
      <w:tabs>
        <w:tab w:val="left" w:pos="1701"/>
      </w:tabs>
      <w:ind w:left="1701" w:hanging="1701"/>
    </w:pPr>
  </w:style>
  <w:style w:type="paragraph" w:customStyle="1" w:styleId="NER-Fig-Title-MNum">
    <w:name w:val="NER-Fig-Title-MNum"/>
    <w:basedOn w:val="NER-Fig-Title-UNum"/>
    <w:uiPriority w:val="99"/>
    <w:pPr>
      <w:tabs>
        <w:tab w:val="left" w:pos="2835"/>
      </w:tabs>
      <w:ind w:left="2835" w:hanging="1701"/>
    </w:pPr>
  </w:style>
  <w:style w:type="paragraph" w:customStyle="1" w:styleId="NER-Fig-Title-MNum-In-1">
    <w:name w:val="NER-Fig-Title-MNum-In-1"/>
    <w:basedOn w:val="NER-Fig-Title-UNum-In-1"/>
    <w:uiPriority w:val="99"/>
    <w:pPr>
      <w:tabs>
        <w:tab w:val="left" w:pos="3402"/>
      </w:tabs>
      <w:ind w:left="3402" w:hanging="1701"/>
    </w:pPr>
  </w:style>
  <w:style w:type="paragraph" w:customStyle="1" w:styleId="NER-Fig-Title-MNum-In-2">
    <w:name w:val="NER-Fig-Title-MNum-In-2"/>
    <w:basedOn w:val="NER-Fig-Title-UNum-In-2"/>
    <w:uiPriority w:val="99"/>
    <w:pPr>
      <w:tabs>
        <w:tab w:val="left" w:pos="3686"/>
      </w:tabs>
      <w:ind w:left="3686" w:hanging="1418"/>
    </w:pPr>
  </w:style>
  <w:style w:type="paragraph" w:customStyle="1" w:styleId="NER-Fig-Title-MNum-In-3">
    <w:name w:val="NER-Fig-Title-MNum-In-3"/>
    <w:basedOn w:val="NER-Fig-Title-UNum-In-3"/>
    <w:uiPriority w:val="99"/>
    <w:pPr>
      <w:tabs>
        <w:tab w:val="left" w:pos="4537"/>
      </w:tabs>
      <w:ind w:left="4537" w:hanging="1701"/>
    </w:pPr>
  </w:style>
  <w:style w:type="paragraph" w:customStyle="1" w:styleId="NER-Fig-Title-MNum-In-4">
    <w:name w:val="NER-Fig-Title-MNum-In-4"/>
    <w:basedOn w:val="NER-Fig-Title-UNum-In-4"/>
    <w:uiPriority w:val="99"/>
    <w:pPr>
      <w:tabs>
        <w:tab w:val="left" w:pos="5104"/>
      </w:tabs>
      <w:ind w:left="5104" w:hanging="1701"/>
    </w:pPr>
  </w:style>
  <w:style w:type="paragraph" w:customStyle="1" w:styleId="Amend-Document-Header">
    <w:name w:val="Amend-Document-Header"/>
    <w:basedOn w:val="Base-ND-Para"/>
    <w:uiPriority w:val="99"/>
    <w:pPr>
      <w:pBdr>
        <w:bottom w:val="single" w:sz="4" w:space="1" w:color="auto"/>
      </w:pBdr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Base-ND-Para"/>
    <w:link w:val="FootnoteTextChar"/>
    <w:uiPriority w:val="99"/>
    <w:pPr>
      <w:tabs>
        <w:tab w:val="left" w:pos="567"/>
      </w:tabs>
      <w:spacing w:before="0" w:after="0"/>
      <w:ind w:left="567" w:hanging="567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customStyle="1" w:styleId="Amend-NER-EOR">
    <w:name w:val="Amend-NER-EOR"/>
    <w:basedOn w:val="Base-Am-NE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NER-Definition-In-1">
    <w:name w:val="NER-Definition-In-1"/>
    <w:basedOn w:val="NER-RC-Para-In-1"/>
    <w:uiPriority w:val="99"/>
  </w:style>
  <w:style w:type="paragraph" w:customStyle="1" w:styleId="NER-Definition-In-2">
    <w:name w:val="NER-Definition-In-2"/>
    <w:basedOn w:val="NER-RC-Para-In-2"/>
    <w:uiPriority w:val="99"/>
  </w:style>
  <w:style w:type="paragraph" w:customStyle="1" w:styleId="NER-Definition-In-3">
    <w:name w:val="NER-Definition-In-3"/>
    <w:basedOn w:val="NER-RC-Para-In-3"/>
    <w:uiPriority w:val="99"/>
  </w:style>
  <w:style w:type="paragraph" w:customStyle="1" w:styleId="NER-Definition-In-4">
    <w:name w:val="NER-Definition-In-4"/>
    <w:basedOn w:val="NER-RC-Para-In-4"/>
    <w:uiPriority w:val="99"/>
  </w:style>
  <w:style w:type="paragraph" w:customStyle="1" w:styleId="Definition-In-1">
    <w:name w:val="Definition-In-1"/>
    <w:basedOn w:val="Para-In-1"/>
    <w:uiPriority w:val="99"/>
  </w:style>
  <w:style w:type="paragraph" w:customStyle="1" w:styleId="Definition-In-2">
    <w:name w:val="Definition-In-2"/>
    <w:basedOn w:val="Para-In-2"/>
    <w:uiPriority w:val="99"/>
  </w:style>
  <w:style w:type="paragraph" w:customStyle="1" w:styleId="Definition-In-3">
    <w:name w:val="Definition-In-3"/>
    <w:basedOn w:val="Para-In-3"/>
    <w:uiPriority w:val="99"/>
  </w:style>
  <w:style w:type="paragraph" w:customStyle="1" w:styleId="Definition-In-4">
    <w:name w:val="Definition-In-4"/>
    <w:basedOn w:val="Para-In-4"/>
    <w:uiPriority w:val="99"/>
  </w:style>
  <w:style w:type="paragraph" w:customStyle="1" w:styleId="NER-Terms-Global">
    <w:name w:val="NER-Terms-Global"/>
    <w:basedOn w:val="NER-Term-Global"/>
    <w:uiPriority w:val="99"/>
    <w:rPr>
      <w:b w:val="0"/>
      <w:bCs w:val="0"/>
      <w:i w:val="0"/>
      <w:iCs w:val="0"/>
    </w:rPr>
  </w:style>
  <w:style w:type="paragraph" w:customStyle="1" w:styleId="Elk-Debug">
    <w:name w:val="Elk-Debug"/>
    <w:basedOn w:val="Normal"/>
    <w:uiPriority w:val="99"/>
    <w:pPr>
      <w:tabs>
        <w:tab w:val="right" w:pos="9073"/>
      </w:tabs>
    </w:pPr>
    <w:rPr>
      <w:caps/>
      <w:color w:val="FF0000"/>
    </w:rPr>
  </w:style>
  <w:style w:type="paragraph" w:customStyle="1" w:styleId="NER-RC-List-2-MNum-UNum-parent">
    <w:name w:val="NER-RC-List-2-MNum-UNum-parent"/>
    <w:basedOn w:val="NER-RC-List-1-MNum"/>
    <w:uiPriority w:val="99"/>
  </w:style>
  <w:style w:type="paragraph" w:customStyle="1" w:styleId="NER-Term-Global-First">
    <w:name w:val="NER-Term-Global-First"/>
    <w:basedOn w:val="NER-Term-Global"/>
    <w:uiPriority w:val="99"/>
    <w:pPr>
      <w:spacing w:before="600"/>
    </w:pPr>
  </w:style>
  <w:style w:type="paragraph" w:customStyle="1" w:styleId="NER-Term-Chapter-First">
    <w:name w:val="NER-Term-Chapter-First"/>
    <w:basedOn w:val="NER-Term-Chapter"/>
    <w:uiPriority w:val="99"/>
    <w:pPr>
      <w:spacing w:before="600"/>
    </w:pPr>
  </w:style>
  <w:style w:type="paragraph" w:customStyle="1" w:styleId="EMR-Contents-Title">
    <w:name w:val="EMR-Contents-Title"/>
    <w:basedOn w:val="Base-EMR-Para"/>
    <w:uiPriority w:val="99"/>
    <w:pPr>
      <w:spacing w:before="0" w:after="240"/>
      <w:jc w:val="left"/>
    </w:pPr>
    <w:rPr>
      <w:b/>
      <w:bCs/>
      <w:caps/>
    </w:rPr>
  </w:style>
  <w:style w:type="paragraph" w:customStyle="1" w:styleId="Base-EMR-Para">
    <w:name w:val="Base-EM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Ch-Title-Text-First-Page">
    <w:name w:val="NER-Ch-Title-Text-First-Page"/>
    <w:uiPriority w:val="99"/>
    <w:pPr>
      <w:pageBreakBefore/>
      <w:autoSpaceDE w:val="0"/>
      <w:autoSpaceDN w:val="0"/>
      <w:adjustRightInd w:val="0"/>
      <w:spacing w:after="0" w:line="240" w:lineRule="auto"/>
    </w:pPr>
    <w:rPr>
      <w:rFonts w:ascii="Arial" w:hAnsi="Arial" w:cs="Arial"/>
      <w:caps/>
      <w:color w:val="FFFFFF"/>
      <w:sz w:val="2"/>
      <w:szCs w:val="2"/>
    </w:rPr>
  </w:style>
  <w:style w:type="paragraph" w:customStyle="1" w:styleId="EMR-Doc-Frt-Title">
    <w:name w:val="EMR-Doc-Frt-Title"/>
    <w:basedOn w:val="Base-EMR-Title"/>
    <w:uiPriority w:val="99"/>
    <w:pPr>
      <w:spacing w:before="480"/>
    </w:pPr>
  </w:style>
  <w:style w:type="paragraph" w:customStyle="1" w:styleId="Base-EMR-Title">
    <w:name w:val="Base-EMR-Title"/>
    <w:basedOn w:val="Base-Rules-Title"/>
    <w:uiPriority w:val="99"/>
  </w:style>
  <w:style w:type="paragraph" w:customStyle="1" w:styleId="EMR-Pt-Num">
    <w:name w:val="EMR-Pt-Num"/>
    <w:basedOn w:val="Base-EM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EMR-Sch-Title">
    <w:name w:val="EMR-Sch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Base-EMR-Num-Outline-Title-Indent">
    <w:name w:val="Base-EMR-Num-Outline-Title-Indent"/>
    <w:basedOn w:val="Base-EMR-Title"/>
    <w:uiPriority w:val="99"/>
    <w:pPr>
      <w:tabs>
        <w:tab w:val="left" w:pos="2268"/>
      </w:tabs>
      <w:ind w:left="2268" w:hanging="2268"/>
    </w:pPr>
  </w:style>
  <w:style w:type="paragraph" w:customStyle="1" w:styleId="EMR-Pt-Title">
    <w:name w:val="EMR-Pt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EMR-Doc-Title">
    <w:name w:val="EMR-Doc-Title"/>
    <w:basedOn w:val="Base-EMR-Title"/>
    <w:uiPriority w:val="99"/>
    <w:pPr>
      <w:jc w:val="center"/>
    </w:pPr>
    <w:rPr>
      <w:sz w:val="52"/>
      <w:szCs w:val="52"/>
    </w:rPr>
  </w:style>
  <w:style w:type="paragraph" w:customStyle="1" w:styleId="EMR-Div-Title">
    <w:name w:val="EMR-Div-Title"/>
    <w:basedOn w:val="Base-EMR-Num-Outline-Title-Indent"/>
    <w:uiPriority w:val="99"/>
    <w:pPr>
      <w:spacing w:before="360"/>
      <w:outlineLvl w:val="1"/>
    </w:pPr>
    <w:rPr>
      <w:sz w:val="28"/>
      <w:szCs w:val="28"/>
    </w:rPr>
  </w:style>
  <w:style w:type="paragraph" w:customStyle="1" w:styleId="Base-EMR-Rule-Title">
    <w:name w:val="Base-EMR-Rule-Title"/>
    <w:basedOn w:val="Base-EMR-Num-Rule-Title-indent"/>
    <w:uiPriority w:val="99"/>
    <w:pPr>
      <w:spacing w:before="240" w:after="60"/>
    </w:pPr>
    <w:rPr>
      <w:sz w:val="26"/>
      <w:szCs w:val="26"/>
    </w:rPr>
  </w:style>
  <w:style w:type="paragraph" w:customStyle="1" w:styleId="Base-EMR-Num-Rule-Title-indent">
    <w:name w:val="Base-EMR-Num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EMR-Para">
    <w:name w:val="EMR-Para"/>
    <w:basedOn w:val="Base-EMR-Para"/>
    <w:uiPriority w:val="99"/>
  </w:style>
  <w:style w:type="paragraph" w:customStyle="1" w:styleId="EMR-Para-In-1">
    <w:name w:val="EMR-Para-In-1"/>
    <w:basedOn w:val="Base-EMR-Para"/>
    <w:uiPriority w:val="99"/>
    <w:pPr>
      <w:ind w:left="567"/>
    </w:pPr>
  </w:style>
  <w:style w:type="paragraph" w:customStyle="1" w:styleId="EMR-RSR-Para">
    <w:name w:val="EMR-RSR-Para"/>
    <w:basedOn w:val="Base-EMR-RSR-Para"/>
    <w:uiPriority w:val="99"/>
  </w:style>
  <w:style w:type="paragraph" w:customStyle="1" w:styleId="Base-EMR-RSR-Para">
    <w:name w:val="Base-EMR-RSR-Para"/>
    <w:basedOn w:val="Base-EMR-Para"/>
    <w:uiPriority w:val="99"/>
    <w:pPr>
      <w:ind w:left="1134"/>
    </w:pPr>
  </w:style>
  <w:style w:type="paragraph" w:customStyle="1" w:styleId="EMR-RSR-Para-In-1">
    <w:name w:val="EMR-RSR-Para-In-1"/>
    <w:basedOn w:val="Base-EMR-RSR-Para"/>
    <w:uiPriority w:val="99"/>
    <w:pPr>
      <w:ind w:left="1701"/>
    </w:pPr>
  </w:style>
  <w:style w:type="paragraph" w:customStyle="1" w:styleId="EMR-RSR-Para-In-2">
    <w:name w:val="EMR-RSR-Para-In-2"/>
    <w:basedOn w:val="Base-EMR-RSR-Para"/>
    <w:uiPriority w:val="99"/>
    <w:pPr>
      <w:ind w:left="2268"/>
    </w:pPr>
  </w:style>
  <w:style w:type="paragraph" w:customStyle="1" w:styleId="EMR-RSR-Para-In-3">
    <w:name w:val="EMR-RSR-Para-In-3"/>
    <w:basedOn w:val="Base-EMR-RSR-Para"/>
    <w:uiPriority w:val="99"/>
    <w:pPr>
      <w:ind w:left="2835"/>
    </w:pPr>
  </w:style>
  <w:style w:type="paragraph" w:customStyle="1" w:styleId="EMR-RSR-Para-In-4">
    <w:name w:val="EMR-RSR-Para-In-4"/>
    <w:basedOn w:val="Base-EMR-RSR-Para"/>
    <w:uiPriority w:val="99"/>
    <w:pPr>
      <w:ind w:left="3402"/>
    </w:pPr>
  </w:style>
  <w:style w:type="paragraph" w:customStyle="1" w:styleId="EMR-List-1-MNum">
    <w:name w:val="EMR-List-1-MNum"/>
    <w:basedOn w:val="EMR-List-1-UNum"/>
    <w:uiPriority w:val="99"/>
    <w:pPr>
      <w:tabs>
        <w:tab w:val="left" w:pos="567"/>
      </w:tabs>
      <w:ind w:left="567" w:hanging="567"/>
    </w:pPr>
  </w:style>
  <w:style w:type="paragraph" w:customStyle="1" w:styleId="EMR-List-1-UNum">
    <w:name w:val="EMR-List-1-UNum"/>
    <w:basedOn w:val="Base-EMR-Para"/>
    <w:uiPriority w:val="99"/>
  </w:style>
  <w:style w:type="paragraph" w:customStyle="1" w:styleId="EMR-List-2-MNum">
    <w:name w:val="EMR-List-2-MNum"/>
    <w:basedOn w:val="EMR-List-2-UNum"/>
    <w:uiPriority w:val="99"/>
    <w:pPr>
      <w:tabs>
        <w:tab w:val="left" w:pos="1134"/>
      </w:tabs>
      <w:ind w:left="1134" w:hanging="567"/>
    </w:pPr>
  </w:style>
  <w:style w:type="paragraph" w:customStyle="1" w:styleId="EMR-List-2-UNum">
    <w:name w:val="EMR-List-2-UNum"/>
    <w:basedOn w:val="Base-EMR-Para"/>
    <w:uiPriority w:val="99"/>
    <w:pPr>
      <w:ind w:left="567"/>
    </w:pPr>
  </w:style>
  <w:style w:type="paragraph" w:customStyle="1" w:styleId="EMR-List-3-MNum">
    <w:name w:val="EMR-List-3-MNum"/>
    <w:basedOn w:val="EMR-List-3-UNum"/>
    <w:uiPriority w:val="99"/>
    <w:pPr>
      <w:tabs>
        <w:tab w:val="left" w:pos="1701"/>
      </w:tabs>
      <w:ind w:left="1701" w:hanging="567"/>
    </w:pPr>
  </w:style>
  <w:style w:type="paragraph" w:customStyle="1" w:styleId="EMR-List-3-UNum">
    <w:name w:val="EMR-List-3-UNum"/>
    <w:basedOn w:val="Base-EMR-Para"/>
    <w:uiPriority w:val="99"/>
    <w:pPr>
      <w:ind w:left="1134"/>
    </w:pPr>
  </w:style>
  <w:style w:type="paragraph" w:customStyle="1" w:styleId="EMR-List-1-Bull">
    <w:name w:val="EMR-List-1-Bull"/>
    <w:basedOn w:val="EMR-List-1-MNum"/>
    <w:uiPriority w:val="99"/>
  </w:style>
  <w:style w:type="paragraph" w:customStyle="1" w:styleId="EMR-RSR-List-1-MNum">
    <w:name w:val="EMR-RSR-List-1-MNum"/>
    <w:basedOn w:val="EMR-RSR-List-1-UNum"/>
    <w:uiPriority w:val="99"/>
    <w:pPr>
      <w:tabs>
        <w:tab w:val="left" w:pos="1701"/>
      </w:tabs>
      <w:ind w:left="1701" w:hanging="567"/>
    </w:pPr>
  </w:style>
  <w:style w:type="paragraph" w:customStyle="1" w:styleId="EMR-RSR-List-1-UNum">
    <w:name w:val="EMR-RSR-List-1-UNum"/>
    <w:basedOn w:val="Base-EMR-RSR-Para"/>
    <w:uiPriority w:val="99"/>
  </w:style>
  <w:style w:type="paragraph" w:customStyle="1" w:styleId="EMR-RSR-List-2-MNum">
    <w:name w:val="EMR-RSR-List-2-MNum"/>
    <w:basedOn w:val="EMR-RSR-List-2-UNum"/>
    <w:uiPriority w:val="99"/>
    <w:pPr>
      <w:tabs>
        <w:tab w:val="left" w:pos="2268"/>
      </w:tabs>
      <w:ind w:left="2268" w:hanging="567"/>
    </w:pPr>
  </w:style>
  <w:style w:type="paragraph" w:customStyle="1" w:styleId="EMR-RSR-List-2-UNum">
    <w:name w:val="EMR-RSR-List-2-UNum"/>
    <w:basedOn w:val="Base-EMR-RSR-Para"/>
    <w:uiPriority w:val="99"/>
    <w:pPr>
      <w:ind w:left="1701"/>
    </w:pPr>
  </w:style>
  <w:style w:type="paragraph" w:customStyle="1" w:styleId="EMR-RSR-List-3-MNum">
    <w:name w:val="EMR-RSR-List-3-MNum"/>
    <w:basedOn w:val="EMR-RSR-List-3-UNum"/>
    <w:uiPriority w:val="99"/>
    <w:pPr>
      <w:tabs>
        <w:tab w:val="left" w:pos="2835"/>
      </w:tabs>
      <w:ind w:left="2835" w:hanging="567"/>
    </w:pPr>
  </w:style>
  <w:style w:type="paragraph" w:customStyle="1" w:styleId="EMR-RSR-List-3-UNum">
    <w:name w:val="EMR-RSR-List-3-UNum"/>
    <w:basedOn w:val="Base-EMR-RSR-Para"/>
    <w:uiPriority w:val="99"/>
    <w:pPr>
      <w:ind w:left="2268"/>
    </w:pPr>
  </w:style>
  <w:style w:type="paragraph" w:customStyle="1" w:styleId="EMR-RSR-List-4-MNum">
    <w:name w:val="EMR-RSR-List-4-MNum"/>
    <w:basedOn w:val="EMR-RSR-List-4-UNum"/>
    <w:uiPriority w:val="99"/>
    <w:pPr>
      <w:tabs>
        <w:tab w:val="left" w:pos="3402"/>
      </w:tabs>
      <w:ind w:left="3402" w:hanging="567"/>
    </w:pPr>
  </w:style>
  <w:style w:type="paragraph" w:customStyle="1" w:styleId="EMR-RSR-List-4-UNum">
    <w:name w:val="EMR-RSR-List-4-UNum"/>
    <w:basedOn w:val="Base-EMR-RSR-Para"/>
    <w:uiPriority w:val="99"/>
    <w:pPr>
      <w:ind w:left="2835"/>
    </w:pPr>
  </w:style>
  <w:style w:type="paragraph" w:customStyle="1" w:styleId="EMR-Definition">
    <w:name w:val="EMR-Definition"/>
    <w:basedOn w:val="Base-EMR-RSR-Para"/>
    <w:uiPriority w:val="99"/>
  </w:style>
  <w:style w:type="paragraph" w:customStyle="1" w:styleId="EMR-Definition-In-1">
    <w:name w:val="EMR-Definition-In-1"/>
    <w:basedOn w:val="EMR-RSR-Para-In-1"/>
    <w:uiPriority w:val="99"/>
  </w:style>
  <w:style w:type="paragraph" w:customStyle="1" w:styleId="EMR-Definition-In-2">
    <w:name w:val="EMR-Definition-In-2"/>
    <w:basedOn w:val="EMR-RSR-Para-In-2"/>
    <w:uiPriority w:val="99"/>
  </w:style>
  <w:style w:type="paragraph" w:customStyle="1" w:styleId="EMR-Definition-In-3">
    <w:name w:val="EMR-Definition-In-3"/>
    <w:basedOn w:val="EMR-RSR-Para-In-3"/>
    <w:uiPriority w:val="99"/>
  </w:style>
  <w:style w:type="paragraph" w:customStyle="1" w:styleId="EMR-Definition-In-4">
    <w:name w:val="EMR-Definition-In-4"/>
    <w:basedOn w:val="EMR-RSR-Para-In-4"/>
    <w:uiPriority w:val="99"/>
  </w:style>
  <w:style w:type="paragraph" w:customStyle="1" w:styleId="EMR-RSR-List-1-item-title-UnNum">
    <w:name w:val="EMR-RSR-List-1-item-title-UnNum"/>
    <w:basedOn w:val="Base-EMR-Title"/>
    <w:uiPriority w:val="99"/>
    <w:pPr>
      <w:spacing w:before="120"/>
      <w:ind w:left="1134"/>
    </w:pPr>
    <w:rPr>
      <w:sz w:val="22"/>
      <w:szCs w:val="22"/>
    </w:rPr>
  </w:style>
  <w:style w:type="paragraph" w:customStyle="1" w:styleId="EMR-Term-Global-Text">
    <w:name w:val="EMR-Term-Global-Text"/>
    <w:basedOn w:val="NER-Terms-Global"/>
    <w:uiPriority w:val="99"/>
  </w:style>
  <w:style w:type="paragraph" w:customStyle="1" w:styleId="EMR-RSR-Item-group-Title">
    <w:name w:val="EMR-RSR-Item-group-Title"/>
    <w:basedOn w:val="Base-EMR-Title"/>
    <w:uiPriority w:val="99"/>
    <w:pPr>
      <w:spacing w:before="220"/>
      <w:ind w:left="1134"/>
    </w:pPr>
    <w:rPr>
      <w:sz w:val="22"/>
      <w:szCs w:val="22"/>
    </w:rPr>
  </w:style>
  <w:style w:type="paragraph" w:customStyle="1" w:styleId="EMR-Item-group-Title">
    <w:name w:val="EMR-Item-group-Title"/>
    <w:basedOn w:val="Base-EMR-Title"/>
    <w:uiPriority w:val="99"/>
    <w:pPr>
      <w:spacing w:before="220"/>
    </w:pPr>
    <w:rPr>
      <w:sz w:val="22"/>
      <w:szCs w:val="22"/>
    </w:rPr>
  </w:style>
  <w:style w:type="paragraph" w:customStyle="1" w:styleId="EMR-Pt-Title-Text-First-Page">
    <w:name w:val="EMR-Pt-Title-Text-First-Page"/>
    <w:basedOn w:val="NER-Ch-Title-Text-First-Page"/>
    <w:uiPriority w:val="99"/>
  </w:style>
  <w:style w:type="paragraph" w:customStyle="1" w:styleId="EMR-Subrule">
    <w:name w:val="EMR-Subrule"/>
    <w:basedOn w:val="Base-EMR-RSR-Para"/>
    <w:uiPriority w:val="99"/>
    <w:pPr>
      <w:tabs>
        <w:tab w:val="left" w:pos="1134"/>
      </w:tabs>
      <w:spacing w:before="240" w:after="60"/>
      <w:ind w:hanging="567"/>
    </w:pPr>
  </w:style>
  <w:style w:type="paragraph" w:customStyle="1" w:styleId="EMR-Subrule-group-Title">
    <w:name w:val="EMR-Subrule-group-Title"/>
    <w:basedOn w:val="Base-EMR-Num-Rule-Title-indent"/>
    <w:uiPriority w:val="99"/>
    <w:pPr>
      <w:tabs>
        <w:tab w:val="clear" w:pos="1134"/>
      </w:tabs>
      <w:spacing w:before="240" w:after="60"/>
      <w:ind w:firstLine="0"/>
    </w:pPr>
    <w:rPr>
      <w:rFonts w:ascii="Arial" w:hAnsi="Arial" w:cs="Arial"/>
    </w:rPr>
  </w:style>
  <w:style w:type="paragraph" w:customStyle="1" w:styleId="EMR-Subdiv-Title">
    <w:name w:val="EMR-Subdiv-Title"/>
    <w:basedOn w:val="Base-EMR-Num-Outline-Title-Indent"/>
    <w:uiPriority w:val="99"/>
    <w:pPr>
      <w:spacing w:before="240" w:after="240"/>
      <w:outlineLvl w:val="2"/>
    </w:pPr>
    <w:rPr>
      <w:sz w:val="26"/>
      <w:szCs w:val="26"/>
    </w:rPr>
  </w:style>
  <w:style w:type="paragraph" w:customStyle="1" w:styleId="EMR-Rule-Title-Lvl-2">
    <w:name w:val="EMR-Rule-Title-Lvl-2"/>
    <w:basedOn w:val="Base-EMR-Rule-Title"/>
    <w:uiPriority w:val="99"/>
    <w:pPr>
      <w:outlineLvl w:val="1"/>
    </w:pPr>
  </w:style>
  <w:style w:type="paragraph" w:customStyle="1" w:styleId="EMR-Rule-Title-Lvl-3">
    <w:name w:val="EMR-Rule-Title-Lvl-3"/>
    <w:basedOn w:val="Base-EMR-Rule-Title"/>
    <w:uiPriority w:val="99"/>
    <w:pPr>
      <w:outlineLvl w:val="2"/>
    </w:pPr>
  </w:style>
  <w:style w:type="paragraph" w:customStyle="1" w:styleId="EMR-Rule-Title-Lvl-4">
    <w:name w:val="EMR-Rule-Title-Lvl-4"/>
    <w:basedOn w:val="Base-EMR-Rule-Title"/>
    <w:uiPriority w:val="99"/>
    <w:pPr>
      <w:outlineLvl w:val="3"/>
    </w:pPr>
  </w:style>
  <w:style w:type="paragraph" w:customStyle="1" w:styleId="Am-EMR-Cover-Rule-Name">
    <w:name w:val="Am-EMR-Cover-Rule-Name"/>
    <w:basedOn w:val="Base-EMR-Title"/>
    <w:uiPriority w:val="99"/>
    <w:rPr>
      <w:sz w:val="28"/>
      <w:szCs w:val="28"/>
    </w:rPr>
  </w:style>
  <w:style w:type="paragraph" w:customStyle="1" w:styleId="Am-EMR-Body-Rule-Name">
    <w:name w:val="Am-EMR-Body-Rule-Name"/>
    <w:basedOn w:val="Base-Am-EMR-Title"/>
    <w:uiPriority w:val="99"/>
  </w:style>
  <w:style w:type="paragraph" w:customStyle="1" w:styleId="Base-Am-EMR-Title">
    <w:name w:val="Base-Am-EMR-Title"/>
    <w:basedOn w:val="Base-Rules-Title"/>
    <w:uiPriority w:val="99"/>
    <w:rPr>
      <w:sz w:val="28"/>
      <w:szCs w:val="28"/>
    </w:rPr>
  </w:style>
  <w:style w:type="paragraph" w:customStyle="1" w:styleId="Am-EMR-Body-Cl-Title-MNum">
    <w:name w:val="Am-EMR-Body-Cl-Title-MNum"/>
    <w:basedOn w:val="Base-Am-EMR-Num-Title-Indent"/>
    <w:uiPriority w:val="99"/>
    <w:pPr>
      <w:spacing w:before="360"/>
    </w:pPr>
  </w:style>
  <w:style w:type="paragraph" w:customStyle="1" w:styleId="Base-Am-EMR-Num-Title-Indent">
    <w:name w:val="Base-Am-EMR-Num-Title-Indent"/>
    <w:basedOn w:val="Base-Am-EMR-Title"/>
    <w:uiPriority w:val="99"/>
    <w:pPr>
      <w:tabs>
        <w:tab w:val="left" w:pos="567"/>
      </w:tabs>
      <w:ind w:left="567" w:hanging="567"/>
    </w:pPr>
  </w:style>
  <w:style w:type="paragraph" w:customStyle="1" w:styleId="Am-EMR-Sch-Title-MNum">
    <w:name w:val="Am-EMR-Sch-Title-MNum"/>
    <w:basedOn w:val="Base-Am-EMR-Title"/>
    <w:uiPriority w:val="99"/>
    <w:pPr>
      <w:tabs>
        <w:tab w:val="left" w:pos="2268"/>
      </w:tabs>
      <w:ind w:left="2268" w:hanging="2268"/>
    </w:pPr>
  </w:style>
  <w:style w:type="paragraph" w:customStyle="1" w:styleId="Am-EMR-Sch-Cl-Title-MNum">
    <w:name w:val="Am-EMR-Sch-Cl-Title-MNum"/>
    <w:basedOn w:val="Base-Am-EMR-Num-Title-Indent"/>
    <w:uiPriority w:val="99"/>
    <w:pPr>
      <w:tabs>
        <w:tab w:val="left" w:pos="2835"/>
      </w:tabs>
      <w:spacing w:before="240"/>
    </w:pPr>
  </w:style>
  <w:style w:type="paragraph" w:customStyle="1" w:styleId="Am-EMR-Para">
    <w:name w:val="Am-EMR-Para"/>
    <w:basedOn w:val="Base-Am-EMR-Para"/>
    <w:uiPriority w:val="99"/>
  </w:style>
  <w:style w:type="paragraph" w:customStyle="1" w:styleId="Base-Am-EMR-Para">
    <w:name w:val="Base-Am-EM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EMR-Para-In-1">
    <w:name w:val="Am-EMR-Para-In-1"/>
    <w:basedOn w:val="Base-Am-EMR-Para"/>
    <w:uiPriority w:val="99"/>
    <w:pPr>
      <w:ind w:left="567"/>
    </w:pPr>
  </w:style>
  <w:style w:type="paragraph" w:customStyle="1" w:styleId="Am-EMR-Para-In-2">
    <w:name w:val="Am-EMR-Para-In-2"/>
    <w:basedOn w:val="Base-Am-EMR-Para"/>
    <w:uiPriority w:val="99"/>
    <w:pPr>
      <w:ind w:left="1134"/>
    </w:pPr>
  </w:style>
  <w:style w:type="paragraph" w:customStyle="1" w:styleId="Am-EMR-Para-In-3">
    <w:name w:val="Am-EMR-Para-In-3"/>
    <w:basedOn w:val="Base-Am-EMR-Para"/>
    <w:uiPriority w:val="99"/>
    <w:pPr>
      <w:ind w:left="1701"/>
    </w:pPr>
  </w:style>
  <w:style w:type="paragraph" w:customStyle="1" w:styleId="Amend-EMR-EOR">
    <w:name w:val="Amend-EMR-EOR"/>
    <w:basedOn w:val="Base-Am-EM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EMR-Table-Anchor">
    <w:name w:val="EMR-Table-Anchor"/>
    <w:basedOn w:val="Base-EMR-RS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EMR-Table-Anchor-After">
    <w:name w:val="EMR-Table-Anchor-After"/>
    <w:basedOn w:val="EMR-Table-Anchor"/>
    <w:uiPriority w:val="99"/>
    <w:pPr>
      <w:keepNext w:val="0"/>
      <w:keepLines w:val="0"/>
      <w:spacing w:after="180"/>
    </w:pPr>
  </w:style>
  <w:style w:type="paragraph" w:customStyle="1" w:styleId="NER-Table-Anchor-After">
    <w:name w:val="NER-Table-Anchor-After"/>
    <w:basedOn w:val="NER-Table-Anchor"/>
    <w:uiPriority w:val="99"/>
    <w:pPr>
      <w:keepNext w:val="0"/>
      <w:keepLines w:val="0"/>
      <w:spacing w:after="180"/>
    </w:pPr>
  </w:style>
  <w:style w:type="paragraph" w:styleId="TOC4">
    <w:name w:val="toc 4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hanging="1701"/>
    </w:pPr>
  </w:style>
  <w:style w:type="paragraph" w:customStyle="1" w:styleId="Inclusion-Title-UNum-In-1">
    <w:name w:val="Inclusion-Title-UNum-In-1"/>
    <w:basedOn w:val="Inclusion-Title-UNum"/>
    <w:uiPriority w:val="99"/>
    <w:pPr>
      <w:ind w:left="567"/>
    </w:pPr>
  </w:style>
  <w:style w:type="paragraph" w:customStyle="1" w:styleId="Inclusion-Title-UNum-In-2">
    <w:name w:val="Inclusion-Title-UNum-In-2"/>
    <w:basedOn w:val="Inclusion-Title-UNum"/>
    <w:uiPriority w:val="99"/>
    <w:pPr>
      <w:ind w:left="1134"/>
    </w:pPr>
  </w:style>
  <w:style w:type="paragraph" w:customStyle="1" w:styleId="Inclusion-Title-UNum-In-3">
    <w:name w:val="Inclusion-Title-UNum-In-3"/>
    <w:basedOn w:val="Inclusion-Title-UNum"/>
    <w:uiPriority w:val="99"/>
    <w:pPr>
      <w:ind w:left="1701"/>
    </w:pPr>
  </w:style>
  <w:style w:type="paragraph" w:customStyle="1" w:styleId="Inclusion-Title-UnNum-In-4">
    <w:name w:val="Inclusion-Title-UnNum-In-4"/>
    <w:basedOn w:val="Inclusion-Title-UNum"/>
    <w:uiPriority w:val="99"/>
    <w:pPr>
      <w:ind w:left="2268"/>
    </w:pPr>
  </w:style>
  <w:style w:type="paragraph" w:customStyle="1" w:styleId="Inclusion-Title-MNum-In-1">
    <w:name w:val="Inclusion-Title-MNum-In-1"/>
    <w:basedOn w:val="Inclusion-Title-UNum-In-1"/>
    <w:uiPriority w:val="99"/>
    <w:pPr>
      <w:tabs>
        <w:tab w:val="left" w:pos="2268"/>
      </w:tabs>
      <w:ind w:left="2268" w:hanging="1701"/>
    </w:pPr>
  </w:style>
  <w:style w:type="paragraph" w:customStyle="1" w:styleId="Inclusion-Title-MNum-In-2">
    <w:name w:val="Inclusion-Title-MNum-In-2"/>
    <w:basedOn w:val="Inclusion-Title-UNum-In-2"/>
    <w:uiPriority w:val="99"/>
    <w:pPr>
      <w:tabs>
        <w:tab w:val="left" w:pos="2835"/>
      </w:tabs>
      <w:ind w:left="2835" w:hanging="1701"/>
    </w:pPr>
  </w:style>
  <w:style w:type="paragraph" w:customStyle="1" w:styleId="Inclusion-Title-MNum-In-3">
    <w:name w:val="Inclusion-Title-MNum-In-3"/>
    <w:basedOn w:val="Inclusion-Title-UNum-In-3"/>
    <w:uiPriority w:val="99"/>
    <w:pPr>
      <w:tabs>
        <w:tab w:val="left" w:pos="3402"/>
      </w:tabs>
      <w:ind w:left="3402" w:hanging="1701"/>
    </w:pPr>
  </w:style>
  <w:style w:type="paragraph" w:customStyle="1" w:styleId="Inclusion-Title-MNum-In-4">
    <w:name w:val="Inclusion-Title-MNum-In-4"/>
    <w:basedOn w:val="Inclusion-Title-UnNum-In-4"/>
    <w:uiPriority w:val="99"/>
    <w:pPr>
      <w:tabs>
        <w:tab w:val="left" w:pos="3969"/>
      </w:tabs>
      <w:ind w:left="3969" w:hanging="1701"/>
    </w:pPr>
  </w:style>
  <w:style w:type="paragraph" w:customStyle="1" w:styleId="Box-Title-ANum-In-1">
    <w:name w:val="Box-Title-ANum-In-1"/>
    <w:basedOn w:val="Box-Title-MNum-In-1"/>
    <w:uiPriority w:val="99"/>
    <w:pPr>
      <w:ind w:left="2268" w:hanging="1701"/>
    </w:pPr>
  </w:style>
  <w:style w:type="paragraph" w:customStyle="1" w:styleId="Box-Title-MNum-In-1">
    <w:name w:val="Box-Title-MNum-In-1"/>
    <w:basedOn w:val="Inclusion-Title-MNum-In-1"/>
    <w:uiPriority w:val="99"/>
    <w:pPr>
      <w:spacing w:before="120" w:after="240"/>
      <w:ind w:left="2835" w:hanging="2268"/>
    </w:pPr>
  </w:style>
  <w:style w:type="paragraph" w:customStyle="1" w:styleId="Question-Title-UnNum">
    <w:name w:val="Question-Title-UnNum"/>
    <w:basedOn w:val="Inclusion-Title-UNum"/>
    <w:uiPriority w:val="99"/>
  </w:style>
  <w:style w:type="paragraph" w:customStyle="1" w:styleId="Policy-Procedure-Header">
    <w:name w:val="Policy-Procedure-Header"/>
    <w:basedOn w:val="Normal"/>
    <w:uiPriority w:val="99"/>
    <w:pPr>
      <w:spacing w:before="240"/>
    </w:pPr>
    <w:rPr>
      <w:sz w:val="28"/>
      <w:szCs w:val="28"/>
    </w:rPr>
  </w:style>
  <w:style w:type="paragraph" w:customStyle="1" w:styleId="Table-List-1-MNum">
    <w:name w:val="Table-List-1-MNum"/>
    <w:basedOn w:val="Table-List-1-UNum"/>
    <w:uiPriority w:val="99"/>
    <w:pPr>
      <w:tabs>
        <w:tab w:val="left" w:pos="284"/>
      </w:tabs>
      <w:ind w:left="284" w:hanging="284"/>
    </w:pPr>
  </w:style>
  <w:style w:type="paragraph" w:customStyle="1" w:styleId="Table-List-1-UNum">
    <w:name w:val="Table-List-1-UNum"/>
    <w:basedOn w:val="Base-ND-Table-Para"/>
    <w:uiPriority w:val="99"/>
  </w:style>
  <w:style w:type="paragraph" w:customStyle="1" w:styleId="Table-Inclusion-Para">
    <w:name w:val="Table-Inclusion-Para"/>
    <w:basedOn w:val="Base-ND-Para"/>
    <w:uiPriority w:val="99"/>
  </w:style>
  <w:style w:type="paragraph" w:customStyle="1" w:styleId="Inclusion-List-4-MNum">
    <w:name w:val="Inclusion-List-4-MNum"/>
    <w:basedOn w:val="Inclusion-List-4-UNum"/>
    <w:uiPriority w:val="99"/>
    <w:pPr>
      <w:tabs>
        <w:tab w:val="left" w:pos="2268"/>
      </w:tabs>
      <w:ind w:left="2268" w:hanging="567"/>
    </w:pPr>
  </w:style>
  <w:style w:type="paragraph" w:customStyle="1" w:styleId="Inclusion-List-4-UNum">
    <w:name w:val="Inclusion-List-4-UNum"/>
    <w:basedOn w:val="Base-ND-Inclusion-Para"/>
    <w:uiPriority w:val="99"/>
    <w:pPr>
      <w:ind w:left="1701"/>
    </w:pPr>
  </w:style>
  <w:style w:type="paragraph" w:customStyle="1" w:styleId="Table-List-2-UNum">
    <w:name w:val="Table-List-2-UNum"/>
    <w:basedOn w:val="Base-ND-Table-Para"/>
    <w:uiPriority w:val="99"/>
    <w:pPr>
      <w:ind w:left="284"/>
    </w:pPr>
  </w:style>
  <w:style w:type="paragraph" w:customStyle="1" w:styleId="Table-List-3-UNum">
    <w:name w:val="Table-List-3-UNum"/>
    <w:basedOn w:val="Base-ND-Table-Para"/>
    <w:uiPriority w:val="99"/>
    <w:pPr>
      <w:ind w:left="567"/>
    </w:pPr>
  </w:style>
  <w:style w:type="paragraph" w:customStyle="1" w:styleId="Inclusion-List-3-UNum">
    <w:name w:val="Inclusion-List-3-UNum"/>
    <w:basedOn w:val="Base-ND-Inclusion-Para"/>
    <w:uiPriority w:val="99"/>
    <w:pPr>
      <w:ind w:left="1134"/>
    </w:pPr>
  </w:style>
  <w:style w:type="paragraph" w:customStyle="1" w:styleId="Inclusion-List-3-MNum">
    <w:name w:val="Inclusion-List-3-MNum"/>
    <w:basedOn w:val="Inclusion-List-3-UNum"/>
    <w:uiPriority w:val="99"/>
    <w:pPr>
      <w:tabs>
        <w:tab w:val="left" w:pos="1701"/>
      </w:tabs>
      <w:ind w:left="2268" w:hanging="1134"/>
    </w:pPr>
  </w:style>
  <w:style w:type="paragraph" w:customStyle="1" w:styleId="Table-List-3-MNum">
    <w:name w:val="Table-List-3-MNum"/>
    <w:basedOn w:val="Table-List-3-UNum"/>
    <w:uiPriority w:val="99"/>
    <w:pPr>
      <w:tabs>
        <w:tab w:val="left" w:pos="851"/>
      </w:tabs>
      <w:ind w:left="851" w:hanging="284"/>
    </w:pPr>
  </w:style>
  <w:style w:type="paragraph" w:customStyle="1" w:styleId="Box-Para-In-1">
    <w:name w:val="Box-Para-In-1"/>
    <w:basedOn w:val="Base-ND-Box-Para"/>
    <w:uiPriority w:val="99"/>
    <w:pPr>
      <w:ind w:left="567"/>
    </w:pPr>
  </w:style>
  <w:style w:type="paragraph" w:customStyle="1" w:styleId="Box-Para-In-2">
    <w:name w:val="Box-Para-In-2"/>
    <w:basedOn w:val="Base-ND-Box-Para"/>
    <w:uiPriority w:val="99"/>
    <w:pPr>
      <w:ind w:left="1134"/>
    </w:pPr>
  </w:style>
  <w:style w:type="paragraph" w:customStyle="1" w:styleId="Box-Para-In-3">
    <w:name w:val="Box-Para-In-3"/>
    <w:basedOn w:val="Base-ND-Box-Para"/>
    <w:uiPriority w:val="99"/>
    <w:pPr>
      <w:ind w:left="1701"/>
    </w:pPr>
  </w:style>
  <w:style w:type="paragraph" w:customStyle="1" w:styleId="Box-Para-In-4">
    <w:name w:val="Box-Para-In-4"/>
    <w:basedOn w:val="Base-ND-Box-Para"/>
    <w:uiPriority w:val="99"/>
    <w:pPr>
      <w:ind w:left="2268"/>
    </w:pPr>
  </w:style>
  <w:style w:type="paragraph" w:customStyle="1" w:styleId="Adjunct-Title-MNum">
    <w:name w:val="Adjunct-Title-MNum"/>
    <w:basedOn w:val="Base-ND-Title-1"/>
    <w:uiPriority w:val="99"/>
    <w:pPr>
      <w:pageBreakBefore w:val="0"/>
    </w:pPr>
  </w:style>
  <w:style w:type="paragraph" w:customStyle="1" w:styleId="NER-Rule-Title-Lvl-2">
    <w:name w:val="NER-Rule-Title-Lvl-2"/>
    <w:basedOn w:val="NER-Rule-Title"/>
    <w:uiPriority w:val="99"/>
  </w:style>
  <w:style w:type="paragraph" w:customStyle="1" w:styleId="NER-Rule-Title-Lvl-3">
    <w:name w:val="NER-Rule-Title-Lvl-3"/>
    <w:basedOn w:val="NER-Rule-Title"/>
    <w:uiPriority w:val="99"/>
    <w:pPr>
      <w:outlineLvl w:val="2"/>
    </w:pPr>
  </w:style>
  <w:style w:type="paragraph" w:customStyle="1" w:styleId="NER-Rule-Title-Lvl-4">
    <w:name w:val="NER-Rule-Title-Lvl-4"/>
    <w:basedOn w:val="NER-Rule-Title"/>
    <w:uiPriority w:val="99"/>
    <w:pPr>
      <w:outlineLvl w:val="3"/>
    </w:pPr>
  </w:style>
  <w:style w:type="paragraph" w:customStyle="1" w:styleId="Text-In-1">
    <w:name w:val="Text-In-1"/>
    <w:basedOn w:val="Para-In-1"/>
    <w:uiPriority w:val="99"/>
  </w:style>
  <w:style w:type="paragraph" w:customStyle="1" w:styleId="Text-In-2">
    <w:name w:val="Text-In-2"/>
    <w:basedOn w:val="Para-In-2"/>
    <w:uiPriority w:val="99"/>
  </w:style>
  <w:style w:type="paragraph" w:customStyle="1" w:styleId="Text-In-3">
    <w:name w:val="Text-In-3"/>
    <w:basedOn w:val="Para-In-3"/>
    <w:uiPriority w:val="99"/>
  </w:style>
  <w:style w:type="paragraph" w:customStyle="1" w:styleId="Text-In-4">
    <w:name w:val="Text-In-4"/>
    <w:basedOn w:val="Para-In-4"/>
    <w:uiPriority w:val="99"/>
  </w:style>
  <w:style w:type="paragraph" w:customStyle="1" w:styleId="Table-Column-Head-Centred">
    <w:name w:val="Table-Column-Head-Centred"/>
    <w:basedOn w:val="Table-Column-Head"/>
    <w:uiPriority w:val="99"/>
    <w:pPr>
      <w:jc w:val="center"/>
    </w:pPr>
  </w:style>
  <w:style w:type="paragraph" w:customStyle="1" w:styleId="Table-Column-Head-Right">
    <w:name w:val="Table-Column-Head-Right"/>
    <w:basedOn w:val="Table-Column-Head"/>
    <w:uiPriority w:val="99"/>
    <w:pPr>
      <w:jc w:val="right"/>
    </w:pPr>
  </w:style>
  <w:style w:type="paragraph" w:customStyle="1" w:styleId="Fig-Title-UNum-In-1">
    <w:name w:val="Fig-Title-UNum-In-1"/>
    <w:basedOn w:val="Inclusion-Title-UNum-In-1"/>
    <w:uiPriority w:val="99"/>
  </w:style>
  <w:style w:type="paragraph" w:customStyle="1" w:styleId="ElkeraAnnotationTitle-2">
    <w:name w:val="Elkera_Annotation_Title-2"/>
    <w:basedOn w:val="ElkeraAnnotationPara"/>
    <w:uiPriority w:val="99"/>
    <w:pPr>
      <w:keepNext/>
      <w:spacing w:before="720" w:after="240"/>
    </w:pPr>
    <w:rPr>
      <w:b/>
      <w:bCs/>
      <w:sz w:val="28"/>
      <w:szCs w:val="28"/>
    </w:rPr>
  </w:style>
  <w:style w:type="paragraph" w:customStyle="1" w:styleId="ElkeraAnnotationTitle-3">
    <w:name w:val="Elkera_Annotation_Title-3"/>
    <w:basedOn w:val="ElkeraAnnotationPara"/>
    <w:next w:val="ElkeraAnnotationPara"/>
    <w:uiPriority w:val="99"/>
    <w:pPr>
      <w:keepNext/>
      <w:spacing w:before="480" w:after="240"/>
    </w:pPr>
    <w:rPr>
      <w:rFonts w:ascii="Arial Bold" w:hAnsi="Arial Bold" w:cs="Arial Bold"/>
      <w:b/>
      <w:bCs/>
      <w:sz w:val="22"/>
      <w:szCs w:val="22"/>
    </w:rPr>
  </w:style>
  <w:style w:type="paragraph" w:customStyle="1" w:styleId="ElkeraAnnotationTitle-1">
    <w:name w:val="Elkera_Annotation_Title-1"/>
    <w:basedOn w:val="ElkeraAnnotationPara"/>
    <w:uiPriority w:val="99"/>
    <w:pPr>
      <w:pageBreakBefore/>
      <w:shd w:val="clear" w:color="auto" w:fill="DDD9C3"/>
      <w:spacing w:before="720" w:after="240"/>
    </w:pPr>
    <w:rPr>
      <w:b/>
      <w:bCs/>
      <w:sz w:val="32"/>
      <w:szCs w:val="32"/>
    </w:rPr>
  </w:style>
  <w:style w:type="paragraph" w:customStyle="1" w:styleId="Table-Title-ANum">
    <w:name w:val="Table-Title-ANum"/>
    <w:basedOn w:val="Table-Title-MNum"/>
    <w:uiPriority w:val="99"/>
  </w:style>
  <w:style w:type="paragraph" w:customStyle="1" w:styleId="Table-Title-MNum">
    <w:name w:val="Table-Title-MNum"/>
    <w:basedOn w:val="Inclusion-Title-MNum"/>
    <w:uiPriority w:val="99"/>
  </w:style>
  <w:style w:type="paragraph" w:customStyle="1" w:styleId="Inclusion-Text">
    <w:name w:val="Inclusion-Text"/>
    <w:basedOn w:val="Base-ND-Inclusion-Para"/>
    <w:uiPriority w:val="99"/>
  </w:style>
  <w:style w:type="paragraph" w:customStyle="1" w:styleId="Inclusion-Std-Para">
    <w:name w:val="Inclusion-Std-Para"/>
    <w:basedOn w:val="Base-ND-Inclusion-Para"/>
    <w:uiPriority w:val="99"/>
  </w:style>
  <w:style w:type="paragraph" w:customStyle="1" w:styleId="Incluision-Text-In-1">
    <w:name w:val="Incluision-Text-In-1"/>
    <w:basedOn w:val="Inclusion-Std-Para-In-1"/>
    <w:uiPriority w:val="99"/>
  </w:style>
  <w:style w:type="paragraph" w:customStyle="1" w:styleId="Inclusion-Text-In-2">
    <w:name w:val="Inclusion-Text-In-2"/>
    <w:basedOn w:val="Inclusion-Std-Para-In-2"/>
    <w:uiPriority w:val="99"/>
  </w:style>
  <w:style w:type="paragraph" w:customStyle="1" w:styleId="Inclusion-Text-In-3">
    <w:name w:val="Inclusion-Text-In-3"/>
    <w:basedOn w:val="Inclusion-Std-Para-In-3"/>
    <w:uiPriority w:val="99"/>
  </w:style>
  <w:style w:type="paragraph" w:customStyle="1" w:styleId="Inclusion-Text-In-4">
    <w:name w:val="Inclusion-Text-In-4"/>
    <w:basedOn w:val="Inclusion-Std-Para-In-4"/>
    <w:uiPriority w:val="99"/>
  </w:style>
  <w:style w:type="paragraph" w:customStyle="1" w:styleId="Inclusion-List-1-ANum">
    <w:name w:val="Inclusion-List-1-ANum"/>
    <w:basedOn w:val="Inclusion-List-1-MNum"/>
    <w:uiPriority w:val="99"/>
  </w:style>
  <w:style w:type="paragraph" w:customStyle="1" w:styleId="Inclusion-List-2-ANum">
    <w:name w:val="Inclusion-List-2-ANum"/>
    <w:basedOn w:val="Inclusion-List-2-MNum"/>
    <w:uiPriority w:val="99"/>
  </w:style>
  <w:style w:type="paragraph" w:customStyle="1" w:styleId="Inclusion-List-3-ANum">
    <w:name w:val="Inclusion-List-3-ANum"/>
    <w:basedOn w:val="Inclusion-List-3-MNum"/>
    <w:uiPriority w:val="99"/>
    <w:pPr>
      <w:ind w:left="1701" w:hanging="567"/>
    </w:pPr>
  </w:style>
  <w:style w:type="paragraph" w:customStyle="1" w:styleId="Head-1-inclusion-item-MNum">
    <w:name w:val="Head-1-inclusion-item-MNum"/>
    <w:basedOn w:val="Head-1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2-inclusion-item-MNum">
    <w:name w:val="Head-2-inclusion-item-MNum"/>
    <w:basedOn w:val="Head-2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3-inclusion-item-MNum">
    <w:name w:val="Head-3-inclusion-item-MNum"/>
    <w:basedOn w:val="Head-3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1-inclusion-item-ANum">
    <w:name w:val="Head-1-inclusion-item-ANum"/>
    <w:basedOn w:val="Head-1-inclusion-item-MNum"/>
    <w:uiPriority w:val="99"/>
  </w:style>
  <w:style w:type="paragraph" w:customStyle="1" w:styleId="Head-2-inclusion-item-ANum">
    <w:name w:val="Head-2-inclusion-item-ANum"/>
    <w:basedOn w:val="Head-2-inclusion-item-MNum"/>
    <w:uiPriority w:val="99"/>
  </w:style>
  <w:style w:type="paragraph" w:customStyle="1" w:styleId="Head-3-inclusion-item-ANum">
    <w:name w:val="Head-3-inclusion-item-ANum"/>
    <w:basedOn w:val="Head-3-inclusion-item-MNum"/>
    <w:uiPriority w:val="99"/>
  </w:style>
  <w:style w:type="paragraph" w:customStyle="1" w:styleId="Inclusion-Text-In-1">
    <w:name w:val="Inclusion-Text-In-1"/>
    <w:basedOn w:val="Inclusion-Std-Para-In-1"/>
    <w:uiPriority w:val="99"/>
  </w:style>
  <w:style w:type="paragraph" w:customStyle="1" w:styleId="Inclusion-List-3-bull">
    <w:name w:val="Inclusion-List-3-bull"/>
    <w:basedOn w:val="Inclusion-List-3-MNum"/>
    <w:uiPriority w:val="99"/>
  </w:style>
  <w:style w:type="paragraph" w:customStyle="1" w:styleId="Tmp-Instr-List-1-MNum">
    <w:name w:val="Tmp-Instr-List-1-MNum"/>
    <w:basedOn w:val="Tmp-Instr-List-1-UNum"/>
    <w:uiPriority w:val="99"/>
    <w:pPr>
      <w:tabs>
        <w:tab w:val="left" w:pos="567"/>
      </w:tabs>
      <w:ind w:left="567" w:hanging="567"/>
    </w:pPr>
  </w:style>
  <w:style w:type="paragraph" w:customStyle="1" w:styleId="Tmp-Instr-List-1-UNum">
    <w:name w:val="Tmp-Instr-List-1-UNum"/>
    <w:basedOn w:val="Base-Tmp-Instr-Para"/>
    <w:uiPriority w:val="99"/>
  </w:style>
  <w:style w:type="paragraph" w:customStyle="1" w:styleId="Tmp-Instr-List-1-bullet">
    <w:name w:val="Tmp-Instr-List-1-bullet"/>
    <w:basedOn w:val="Tmp-Instr-List-1-MNum"/>
    <w:uiPriority w:val="99"/>
  </w:style>
  <w:style w:type="paragraph" w:customStyle="1" w:styleId="Tmp-Instr-List-1-ANum">
    <w:name w:val="Tmp-Instr-List-1-ANum"/>
    <w:basedOn w:val="Tmp-Instr-List-1-MNum"/>
    <w:uiPriority w:val="99"/>
  </w:style>
  <w:style w:type="paragraph" w:customStyle="1" w:styleId="Quote-List-1-Bull">
    <w:name w:val="Quote-List-1-Bull"/>
    <w:basedOn w:val="Quote-List-1-MNum"/>
    <w:uiPriority w:val="99"/>
  </w:style>
  <w:style w:type="paragraph" w:customStyle="1" w:styleId="Quote-List-1-MNum">
    <w:name w:val="Quote-List-1-MNum"/>
    <w:basedOn w:val="Quote-List-1-UNum"/>
    <w:uiPriority w:val="99"/>
    <w:pPr>
      <w:tabs>
        <w:tab w:val="left" w:pos="1134"/>
      </w:tabs>
      <w:ind w:left="1134" w:hanging="567"/>
    </w:pPr>
  </w:style>
  <w:style w:type="paragraph" w:customStyle="1" w:styleId="Quote-List-1-UNum">
    <w:name w:val="Quote-List-1-UNum"/>
    <w:basedOn w:val="Base-Quote-Para"/>
    <w:uiPriority w:val="99"/>
  </w:style>
  <w:style w:type="paragraph" w:customStyle="1" w:styleId="Inclusion-Text-new-line-only">
    <w:name w:val="Inclusion-Text-new-line-only"/>
    <w:basedOn w:val="Base-ND-Inclusion-Para"/>
    <w:uiPriority w:val="99"/>
    <w:pPr>
      <w:spacing w:before="0" w:after="0"/>
    </w:pPr>
  </w:style>
  <w:style w:type="paragraph" w:customStyle="1" w:styleId="Text-new-line-only">
    <w:name w:val="Text-new-line-only"/>
    <w:basedOn w:val="Base-ND-Para"/>
    <w:uiPriority w:val="99"/>
    <w:pPr>
      <w:spacing w:before="0" w:after="0"/>
    </w:pPr>
  </w:style>
  <w:style w:type="paragraph" w:customStyle="1" w:styleId="List-item-title-UnNum-1">
    <w:name w:val="List-item-title-UnNum-1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List-item-title-MNum-In-1">
    <w:name w:val="List-item-title-MNum-In-1"/>
    <w:basedOn w:val="Base-ND-Title"/>
    <w:uiPriority w:val="99"/>
    <w:pPr>
      <w:tabs>
        <w:tab w:val="left" w:pos="567"/>
      </w:tabs>
      <w:spacing w:before="120" w:after="120"/>
      <w:ind w:left="567" w:hanging="567"/>
    </w:pPr>
    <w:rPr>
      <w:sz w:val="22"/>
      <w:szCs w:val="22"/>
    </w:rPr>
  </w:style>
  <w:style w:type="paragraph" w:customStyle="1" w:styleId="List-item-title-MNum-In-2">
    <w:name w:val="List-item-title-MNum-In-2"/>
    <w:basedOn w:val="Base-ND-Title"/>
    <w:uiPriority w:val="99"/>
    <w:pPr>
      <w:tabs>
        <w:tab w:val="left" w:pos="1134"/>
      </w:tabs>
      <w:spacing w:before="120" w:after="120"/>
      <w:ind w:left="1134" w:hanging="567"/>
    </w:pPr>
    <w:rPr>
      <w:sz w:val="22"/>
      <w:szCs w:val="22"/>
    </w:rPr>
  </w:style>
  <w:style w:type="paragraph" w:customStyle="1" w:styleId="List-item-title-MNum-In-3">
    <w:name w:val="List-item-title-MNum-In-3"/>
    <w:basedOn w:val="Base-ND-Title"/>
    <w:uiPriority w:val="99"/>
    <w:pPr>
      <w:tabs>
        <w:tab w:val="left" w:pos="1701"/>
      </w:tabs>
      <w:spacing w:before="120" w:after="120"/>
      <w:ind w:left="1701" w:hanging="567"/>
    </w:pPr>
    <w:rPr>
      <w:sz w:val="22"/>
      <w:szCs w:val="22"/>
    </w:rPr>
  </w:style>
  <w:style w:type="paragraph" w:customStyle="1" w:styleId="List-item-title-MNum-In-4">
    <w:name w:val="List-item-title-MNum-In-4"/>
    <w:basedOn w:val="Base-ND-Title"/>
    <w:uiPriority w:val="99"/>
    <w:pPr>
      <w:tabs>
        <w:tab w:val="left" w:pos="2268"/>
      </w:tabs>
      <w:spacing w:before="120" w:after="120"/>
      <w:ind w:left="2268" w:hanging="567"/>
    </w:pPr>
    <w:rPr>
      <w:sz w:val="22"/>
      <w:szCs w:val="22"/>
    </w:rPr>
  </w:style>
  <w:style w:type="paragraph" w:customStyle="1" w:styleId="Box-Title-MNum-In-2">
    <w:name w:val="Box-Title-MNum-In-2"/>
    <w:basedOn w:val="Inclusion-Title-MNum-In-2"/>
    <w:uiPriority w:val="99"/>
    <w:pPr>
      <w:spacing w:before="120" w:after="240"/>
      <w:ind w:left="3969" w:hanging="2835"/>
    </w:pPr>
  </w:style>
  <w:style w:type="paragraph" w:customStyle="1" w:styleId="Box-Title-MNum-In-3">
    <w:name w:val="Box-Title-MNum-In-3"/>
    <w:basedOn w:val="Inclusion-Title-MNum-In-3"/>
    <w:uiPriority w:val="99"/>
    <w:pPr>
      <w:tabs>
        <w:tab w:val="clear" w:pos="3402"/>
        <w:tab w:val="left" w:pos="3403"/>
      </w:tabs>
      <w:spacing w:before="120" w:after="240"/>
      <w:ind w:left="5104" w:hanging="3402"/>
    </w:pPr>
  </w:style>
  <w:style w:type="paragraph" w:customStyle="1" w:styleId="Box-Title-MNum-In-4">
    <w:name w:val="Box-Title-MNum-In-4"/>
    <w:basedOn w:val="Inclusion-Title-MNum-In-4"/>
    <w:uiPriority w:val="99"/>
    <w:pPr>
      <w:spacing w:before="120" w:after="240"/>
    </w:pPr>
  </w:style>
  <w:style w:type="paragraph" w:customStyle="1" w:styleId="Box-Title-ANum-In-2">
    <w:name w:val="Box-Title-ANum-In-2"/>
    <w:basedOn w:val="Box-Title-MNum-In-2"/>
    <w:uiPriority w:val="99"/>
    <w:pPr>
      <w:ind w:left="2835" w:hanging="1701"/>
    </w:pPr>
  </w:style>
  <w:style w:type="paragraph" w:customStyle="1" w:styleId="Box-Title-ANum-In-3">
    <w:name w:val="Box-Title-ANum-In-3"/>
    <w:basedOn w:val="Box-Title-MNum-In-3"/>
    <w:uiPriority w:val="99"/>
    <w:pPr>
      <w:tabs>
        <w:tab w:val="left" w:pos="3402"/>
        <w:tab w:val="clear" w:pos="3403"/>
      </w:tabs>
      <w:ind w:left="3402" w:hanging="1701"/>
    </w:pPr>
  </w:style>
  <w:style w:type="paragraph" w:customStyle="1" w:styleId="Dr-Note-public-Para-In-2">
    <w:name w:val="Dr-Note-public-Para-In-2"/>
    <w:basedOn w:val="Base-Dr-Note-public-Para"/>
    <w:uiPriority w:val="99"/>
    <w:pPr>
      <w:ind w:left="1134"/>
    </w:pPr>
  </w:style>
  <w:style w:type="paragraph" w:customStyle="1" w:styleId="Dr-Note-public-Para-In-3">
    <w:name w:val="Dr-Note-public-Para-In-3"/>
    <w:basedOn w:val="Base-Dr-Note-public-Para"/>
    <w:uiPriority w:val="99"/>
    <w:pPr>
      <w:ind w:left="1701"/>
    </w:pPr>
  </w:style>
  <w:style w:type="paragraph" w:customStyle="1" w:styleId="Dr-Note-public-Title">
    <w:name w:val="Dr-Note-public-Title"/>
    <w:basedOn w:val="Inclusion-Title-UNum"/>
    <w:uiPriority w:val="99"/>
    <w:rPr>
      <w:color w:val="0000CC"/>
    </w:rPr>
  </w:style>
  <w:style w:type="paragraph" w:customStyle="1" w:styleId="Dr-Note-internal-Title">
    <w:name w:val="Dr-Note-internal-Title"/>
    <w:basedOn w:val="Inclusion-Title-UNum"/>
    <w:uiPriority w:val="99"/>
    <w:rPr>
      <w:color w:val="FF0000"/>
    </w:rPr>
  </w:style>
  <w:style w:type="paragraph" w:customStyle="1" w:styleId="Dr-Note-internal-Para-In-2">
    <w:name w:val="Dr-Note-internal-Para-In-2"/>
    <w:basedOn w:val="Base-Dr-Note-internal-Para"/>
    <w:uiPriority w:val="99"/>
    <w:pPr>
      <w:ind w:left="1134"/>
    </w:pPr>
  </w:style>
  <w:style w:type="paragraph" w:customStyle="1" w:styleId="Dr-Note-internal-Para-In-3">
    <w:name w:val="Dr-Note-internal-Para-In-3"/>
    <w:basedOn w:val="Base-Dr-Note-internal-Para"/>
    <w:uiPriority w:val="99"/>
    <w:pPr>
      <w:ind w:left="1701"/>
    </w:pPr>
  </w:style>
  <w:style w:type="paragraph" w:customStyle="1" w:styleId="Dr-Note-public-List-1-MNum">
    <w:name w:val="Dr-Note-public-List-1-MNum"/>
    <w:basedOn w:val="Base-Dr-Note-public-Para"/>
    <w:uiPriority w:val="99"/>
    <w:pPr>
      <w:tabs>
        <w:tab w:val="left" w:pos="567"/>
      </w:tabs>
      <w:ind w:left="567" w:hanging="567"/>
    </w:pPr>
  </w:style>
  <w:style w:type="paragraph" w:customStyle="1" w:styleId="Dr-Note-public-List-2-MNum">
    <w:name w:val="Dr-Note-public-List-2-MNum"/>
    <w:basedOn w:val="Base-Dr-Note-public-Para"/>
    <w:uiPriority w:val="99"/>
    <w:pPr>
      <w:tabs>
        <w:tab w:val="left" w:pos="1134"/>
      </w:tabs>
      <w:ind w:left="1134" w:hanging="567"/>
    </w:pPr>
  </w:style>
  <w:style w:type="paragraph" w:customStyle="1" w:styleId="Dr-Note-public-List-3-MNum">
    <w:name w:val="Dr-Note-public-List-3-MNum"/>
    <w:basedOn w:val="Base-Dr-Note-public-Para"/>
    <w:uiPriority w:val="99"/>
    <w:pPr>
      <w:tabs>
        <w:tab w:val="left" w:pos="1701"/>
      </w:tabs>
      <w:ind w:left="1701" w:hanging="567"/>
    </w:pPr>
  </w:style>
  <w:style w:type="paragraph" w:customStyle="1" w:styleId="Dr-Note-public-List-1-bull">
    <w:name w:val="Dr-Note-public-List-1-bull"/>
    <w:basedOn w:val="Dr-Note-public-List-1-MNum"/>
    <w:uiPriority w:val="99"/>
  </w:style>
  <w:style w:type="paragraph" w:customStyle="1" w:styleId="Dr-Note-public-List-2-bull">
    <w:name w:val="Dr-Note-public-List-2-bull"/>
    <w:basedOn w:val="Dr-Note-public-List-2-MNum"/>
    <w:uiPriority w:val="99"/>
  </w:style>
  <w:style w:type="paragraph" w:customStyle="1" w:styleId="Dr-Note-public-List-3-bull">
    <w:name w:val="Dr-Note-public-List-3-bull"/>
    <w:basedOn w:val="Dr-Note-public-List-3-MNum"/>
    <w:uiPriority w:val="99"/>
  </w:style>
  <w:style w:type="paragraph" w:customStyle="1" w:styleId="Dr-Note-public-List-1-ANum">
    <w:name w:val="Dr-Note-public-List-1-ANum"/>
    <w:basedOn w:val="Dr-Note-public-List-1-MNum"/>
    <w:uiPriority w:val="99"/>
  </w:style>
  <w:style w:type="paragraph" w:customStyle="1" w:styleId="Dr-Note-public-List-2-ANum">
    <w:name w:val="Dr-Note-public-List-2-ANum"/>
    <w:basedOn w:val="Dr-Note-public-List-2-MNum"/>
    <w:uiPriority w:val="99"/>
  </w:style>
  <w:style w:type="paragraph" w:customStyle="1" w:styleId="Dr-Note-public-List-3-ANum">
    <w:name w:val="Dr-Note-public-List-3-ANum"/>
    <w:basedOn w:val="Dr-Note-public-List-3-MNum"/>
    <w:uiPriority w:val="99"/>
  </w:style>
  <w:style w:type="paragraph" w:customStyle="1" w:styleId="Dr-Note-internal-List-1-MNum">
    <w:name w:val="Dr-Note-internal-List-1-MNum"/>
    <w:basedOn w:val="Base-Dr-Note-internal-Para"/>
    <w:uiPriority w:val="99"/>
    <w:pPr>
      <w:tabs>
        <w:tab w:val="left" w:pos="567"/>
      </w:tabs>
      <w:ind w:left="567" w:hanging="567"/>
    </w:pPr>
  </w:style>
  <w:style w:type="paragraph" w:customStyle="1" w:styleId="Dr-Note-internal-List-2-MNum">
    <w:name w:val="Dr-Note-internal-List-2-MNum"/>
    <w:basedOn w:val="Base-Dr-Note-internal-Para"/>
    <w:uiPriority w:val="99"/>
    <w:pPr>
      <w:tabs>
        <w:tab w:val="left" w:pos="1134"/>
      </w:tabs>
      <w:ind w:left="1134" w:hanging="567"/>
    </w:pPr>
  </w:style>
  <w:style w:type="paragraph" w:customStyle="1" w:styleId="Dr-Note-internal-List-3-MNum">
    <w:name w:val="Dr-Note-internal-List-3-MNum"/>
    <w:basedOn w:val="Base-Dr-Note-internal-Para"/>
    <w:uiPriority w:val="99"/>
    <w:pPr>
      <w:tabs>
        <w:tab w:val="left" w:pos="1701"/>
      </w:tabs>
      <w:ind w:left="1701" w:hanging="567"/>
    </w:pPr>
  </w:style>
  <w:style w:type="paragraph" w:customStyle="1" w:styleId="Dr-Note-internal-List-1-bull">
    <w:name w:val="Dr-Note-internal-List-1-bull"/>
    <w:basedOn w:val="Dr-Note-internal-List-1-MNum"/>
    <w:uiPriority w:val="99"/>
  </w:style>
  <w:style w:type="paragraph" w:customStyle="1" w:styleId="Dr-Note-internal-List-2-bull">
    <w:name w:val="Dr-Note-internal-List-2-bull"/>
    <w:basedOn w:val="Dr-Note-internal-List-2-MNum"/>
    <w:uiPriority w:val="99"/>
  </w:style>
  <w:style w:type="paragraph" w:customStyle="1" w:styleId="Dr-Note-internal-List-3-bull">
    <w:name w:val="Dr-Note-internal-List-3-bull"/>
    <w:basedOn w:val="Dr-Note-internal-List-3-MNum"/>
    <w:uiPriority w:val="99"/>
  </w:style>
  <w:style w:type="paragraph" w:customStyle="1" w:styleId="Dr-Note-internal-List-1-ANum">
    <w:name w:val="Dr-Note-internal-List-1-ANum"/>
    <w:basedOn w:val="Dr-Note-internal-List-1-MNum"/>
    <w:uiPriority w:val="99"/>
  </w:style>
  <w:style w:type="paragraph" w:customStyle="1" w:styleId="Dr-Note-internal-List-2-ANum">
    <w:name w:val="Dr-Note-internal-List-2-ANum"/>
    <w:basedOn w:val="Dr-Note-internal-List-2-MNum"/>
    <w:uiPriority w:val="99"/>
  </w:style>
  <w:style w:type="paragraph" w:customStyle="1" w:styleId="Dr-Note-internal-List-3-ANum">
    <w:name w:val="Dr-Note-internal-List-3-ANum"/>
    <w:basedOn w:val="Dr-Note-internal-List-3-MNum"/>
    <w:uiPriority w:val="99"/>
  </w:style>
  <w:style w:type="paragraph" w:customStyle="1" w:styleId="Dr-Note-internal-Text-new-line-only">
    <w:name w:val="Dr-Note-internal-Text-new-line-only"/>
    <w:basedOn w:val="Base-Dr-Note-internal-Para"/>
    <w:uiPriority w:val="99"/>
    <w:pPr>
      <w:spacing w:before="0" w:after="0"/>
    </w:pPr>
  </w:style>
  <w:style w:type="paragraph" w:customStyle="1" w:styleId="Dr-Note-internal-Text">
    <w:name w:val="Dr-Note-internal-Text"/>
    <w:basedOn w:val="Base-Dr-Note-internal-Para"/>
    <w:uiPriority w:val="99"/>
  </w:style>
  <w:style w:type="paragraph" w:customStyle="1" w:styleId="Dr-Note-internal-Text-In-1">
    <w:name w:val="Dr-Note-internal-Text-In-1"/>
    <w:basedOn w:val="Dr-Note-internal-Para-In-1"/>
    <w:uiPriority w:val="99"/>
  </w:style>
  <w:style w:type="paragraph" w:customStyle="1" w:styleId="Dr-Note-internal-Text-In-2">
    <w:name w:val="Dr-Note-internal-Text-In-2"/>
    <w:basedOn w:val="Dr-Note-internal-Para-In-2"/>
    <w:uiPriority w:val="99"/>
  </w:style>
  <w:style w:type="paragraph" w:customStyle="1" w:styleId="Dr-Note-public-Text-new-line-only">
    <w:name w:val="Dr-Note-public-Text-new-line-only"/>
    <w:basedOn w:val="Base-Dr-Note-public-Para"/>
    <w:uiPriority w:val="99"/>
    <w:pPr>
      <w:spacing w:before="0" w:after="0"/>
    </w:pPr>
  </w:style>
  <w:style w:type="paragraph" w:customStyle="1" w:styleId="Dr-Note-public-Text">
    <w:name w:val="Dr-Note-public-Text"/>
    <w:basedOn w:val="Base-Dr-Note-public-Para"/>
    <w:uiPriority w:val="99"/>
  </w:style>
  <w:style w:type="paragraph" w:customStyle="1" w:styleId="Dr-Note-public-Text-In-1">
    <w:name w:val="Dr-Note-public-Text-In-1"/>
    <w:basedOn w:val="Dr-Note-public-Para-In-1"/>
    <w:uiPriority w:val="99"/>
  </w:style>
  <w:style w:type="paragraph" w:customStyle="1" w:styleId="Dr-Note-public-Text-In-2">
    <w:name w:val="Dr-Note-public-Text-In-2"/>
    <w:basedOn w:val="Dr-Note-public-Para-In-2"/>
    <w:uiPriority w:val="99"/>
  </w:style>
  <w:style w:type="paragraph" w:customStyle="1" w:styleId="Box-Text-new-line-only">
    <w:name w:val="Box-Text-new-line-only"/>
    <w:basedOn w:val="Base-ND-Box-Para"/>
    <w:uiPriority w:val="99"/>
    <w:pPr>
      <w:spacing w:before="0" w:after="0"/>
    </w:pPr>
  </w:style>
  <w:style w:type="paragraph" w:customStyle="1" w:styleId="Box-Text">
    <w:name w:val="Box-Text"/>
    <w:basedOn w:val="Base-ND-Box-Para"/>
    <w:uiPriority w:val="99"/>
  </w:style>
  <w:style w:type="paragraph" w:customStyle="1" w:styleId="Box-Text-In-1">
    <w:name w:val="Box-Text-In-1"/>
    <w:basedOn w:val="Box-Para-In-1"/>
    <w:uiPriority w:val="99"/>
  </w:style>
  <w:style w:type="paragraph" w:customStyle="1" w:styleId="Box-Text-In-2">
    <w:name w:val="Box-Text-In-2"/>
    <w:basedOn w:val="Box-Para-In-2"/>
    <w:uiPriority w:val="99"/>
  </w:style>
  <w:style w:type="paragraph" w:customStyle="1" w:styleId="Box-Text-In-3">
    <w:name w:val="Box-Text-In-3"/>
    <w:basedOn w:val="Box-Para-In-3"/>
    <w:uiPriority w:val="99"/>
  </w:style>
  <w:style w:type="paragraph" w:customStyle="1" w:styleId="Box-List-1-UNum">
    <w:name w:val="Box-List-1-UNum"/>
    <w:basedOn w:val="Base-ND-Box-Para"/>
    <w:uiPriority w:val="99"/>
  </w:style>
  <w:style w:type="paragraph" w:customStyle="1" w:styleId="Box-List-2-Unum">
    <w:name w:val="Box-List-2-Unum"/>
    <w:basedOn w:val="Base-ND-Box-Para"/>
    <w:uiPriority w:val="99"/>
    <w:pPr>
      <w:ind w:left="567"/>
    </w:pPr>
  </w:style>
  <w:style w:type="paragraph" w:customStyle="1" w:styleId="Box-List-3-Unum">
    <w:name w:val="Box-List-3-Unum"/>
    <w:basedOn w:val="Base-ND-Box-Para"/>
    <w:uiPriority w:val="99"/>
    <w:pPr>
      <w:ind w:left="1134"/>
    </w:pPr>
  </w:style>
  <w:style w:type="paragraph" w:customStyle="1" w:styleId="Box-List-4-Unum">
    <w:name w:val="Box-List-4-Unum"/>
    <w:basedOn w:val="Base-ND-Box-Para"/>
    <w:uiPriority w:val="99"/>
    <w:pPr>
      <w:ind w:left="1701"/>
    </w:pPr>
  </w:style>
  <w:style w:type="paragraph" w:customStyle="1" w:styleId="Box-List-1-MNum">
    <w:name w:val="Box-List-1-MNum"/>
    <w:basedOn w:val="Box-List-1-UNum"/>
    <w:uiPriority w:val="99"/>
    <w:pPr>
      <w:tabs>
        <w:tab w:val="left" w:pos="567"/>
      </w:tabs>
      <w:ind w:left="567" w:hanging="567"/>
    </w:pPr>
  </w:style>
  <w:style w:type="paragraph" w:customStyle="1" w:styleId="Box-List-2-MNum">
    <w:name w:val="Box-List-2-MNum"/>
    <w:basedOn w:val="Box-List-2-Unum"/>
    <w:uiPriority w:val="99"/>
    <w:pPr>
      <w:tabs>
        <w:tab w:val="left" w:pos="1134"/>
      </w:tabs>
      <w:ind w:left="1134" w:hanging="567"/>
    </w:pPr>
  </w:style>
  <w:style w:type="paragraph" w:customStyle="1" w:styleId="Box-List-3-MNum">
    <w:name w:val="Box-List-3-MNum"/>
    <w:basedOn w:val="Box-List-3-Unum"/>
    <w:uiPriority w:val="99"/>
    <w:pPr>
      <w:tabs>
        <w:tab w:val="left" w:pos="1701"/>
      </w:tabs>
      <w:ind w:left="1701" w:hanging="567"/>
    </w:pPr>
  </w:style>
  <w:style w:type="paragraph" w:customStyle="1" w:styleId="Box-List-4-MNum">
    <w:name w:val="Box-List-4-MNum"/>
    <w:basedOn w:val="Box-List-4-Unum"/>
    <w:uiPriority w:val="99"/>
    <w:pPr>
      <w:tabs>
        <w:tab w:val="left" w:pos="2268"/>
      </w:tabs>
      <w:ind w:left="2268" w:hanging="567"/>
    </w:pPr>
  </w:style>
  <w:style w:type="paragraph" w:customStyle="1" w:styleId="Box-List-2-Bull">
    <w:name w:val="Box-List-2-Bull"/>
    <w:basedOn w:val="Box-List-2-MNum"/>
    <w:uiPriority w:val="99"/>
  </w:style>
  <w:style w:type="paragraph" w:customStyle="1" w:styleId="Box-List-3-Bull">
    <w:name w:val="Box-List-3-Bull"/>
    <w:basedOn w:val="Box-List-3-MNum"/>
    <w:uiPriority w:val="99"/>
  </w:style>
  <w:style w:type="paragraph" w:customStyle="1" w:styleId="Box-List-4-Bull">
    <w:name w:val="Box-List-4-Bull"/>
    <w:basedOn w:val="Box-List-4-MNum"/>
    <w:uiPriority w:val="99"/>
  </w:style>
  <w:style w:type="paragraph" w:customStyle="1" w:styleId="Box-List-1-ANum">
    <w:name w:val="Box-List-1-ANum"/>
    <w:basedOn w:val="Box-List-1-MNum"/>
    <w:uiPriority w:val="99"/>
  </w:style>
  <w:style w:type="paragraph" w:customStyle="1" w:styleId="Box-List-2-ANum">
    <w:name w:val="Box-List-2-ANum"/>
    <w:basedOn w:val="Box-List-2-MNum"/>
    <w:uiPriority w:val="99"/>
  </w:style>
  <w:style w:type="paragraph" w:customStyle="1" w:styleId="Box-List-3-ANum">
    <w:name w:val="Box-List-3-ANum"/>
    <w:basedOn w:val="Box-List-3-MNum"/>
    <w:uiPriority w:val="99"/>
  </w:style>
  <w:style w:type="paragraph" w:customStyle="1" w:styleId="Eqn-Para">
    <w:name w:val="Eqn-Para"/>
    <w:basedOn w:val="Base-ND-Para"/>
    <w:uiPriority w:val="99"/>
  </w:style>
  <w:style w:type="paragraph" w:customStyle="1" w:styleId="Eqn-Para-In-1">
    <w:name w:val="Eqn-Para-In-1"/>
    <w:basedOn w:val="Para-In-1"/>
    <w:uiPriority w:val="99"/>
  </w:style>
  <w:style w:type="paragraph" w:customStyle="1" w:styleId="Eqn-Para-In-2">
    <w:name w:val="Eqn-Para-In-2"/>
    <w:basedOn w:val="Para-In-2"/>
    <w:uiPriority w:val="99"/>
  </w:style>
  <w:style w:type="paragraph" w:customStyle="1" w:styleId="Eqn-Para-In-3">
    <w:name w:val="Eqn-Para-In-3"/>
    <w:basedOn w:val="Para-In-3"/>
    <w:uiPriority w:val="99"/>
  </w:style>
  <w:style w:type="paragraph" w:customStyle="1" w:styleId="Eqn-Para-In-4">
    <w:name w:val="Eqn-Para-In-4"/>
    <w:basedOn w:val="Para-In-4"/>
    <w:uiPriority w:val="99"/>
  </w:style>
  <w:style w:type="paragraph" w:customStyle="1" w:styleId="Eqn-Text">
    <w:name w:val="Eqn-Text"/>
    <w:basedOn w:val="Text"/>
    <w:uiPriority w:val="99"/>
  </w:style>
  <w:style w:type="paragraph" w:customStyle="1" w:styleId="Eqn-Text-In-1">
    <w:name w:val="Eqn-Text-In-1"/>
    <w:basedOn w:val="Text-In-1"/>
    <w:uiPriority w:val="99"/>
  </w:style>
  <w:style w:type="paragraph" w:customStyle="1" w:styleId="Eqn-Text-In-2">
    <w:name w:val="Eqn-Text-In-2"/>
    <w:basedOn w:val="Text-In-2"/>
    <w:uiPriority w:val="99"/>
  </w:style>
  <w:style w:type="paragraph" w:customStyle="1" w:styleId="Eqn-Text-In-3">
    <w:name w:val="Eqn-Text-In-3"/>
    <w:basedOn w:val="Text-In-3"/>
    <w:uiPriority w:val="99"/>
  </w:style>
  <w:style w:type="paragraph" w:customStyle="1" w:styleId="Eqn-Text-In-4">
    <w:name w:val="Eqn-Text-In-4"/>
    <w:basedOn w:val="Text-In-4"/>
    <w:uiPriority w:val="99"/>
  </w:style>
  <w:style w:type="paragraph" w:customStyle="1" w:styleId="Eqn-List-1-Unum">
    <w:name w:val="Eqn-List-1-Unum"/>
    <w:basedOn w:val="List-1-UNum"/>
    <w:uiPriority w:val="99"/>
  </w:style>
  <w:style w:type="paragraph" w:customStyle="1" w:styleId="Eqn-List-2-Unum">
    <w:name w:val="Eqn-List-2-Unum"/>
    <w:basedOn w:val="List-2-UNum"/>
    <w:uiPriority w:val="99"/>
  </w:style>
  <w:style w:type="paragraph" w:customStyle="1" w:styleId="Eqn-List-3-Unum">
    <w:name w:val="Eqn-List-3-Unum"/>
    <w:basedOn w:val="List-3-UNum"/>
    <w:uiPriority w:val="99"/>
  </w:style>
  <w:style w:type="paragraph" w:customStyle="1" w:styleId="Eqn-List-4-Unum">
    <w:name w:val="Eqn-List-4-Unum"/>
    <w:basedOn w:val="List-4-UNum"/>
    <w:uiPriority w:val="99"/>
  </w:style>
  <w:style w:type="paragraph" w:customStyle="1" w:styleId="Eqn-List-1-MNum">
    <w:name w:val="Eqn-List-1-MNum"/>
    <w:basedOn w:val="List-1-MNum"/>
    <w:uiPriority w:val="99"/>
  </w:style>
  <w:style w:type="paragraph" w:customStyle="1" w:styleId="Eqn-List-2-MNum">
    <w:name w:val="Eqn-List-2-MNum"/>
    <w:basedOn w:val="List-2-MNum"/>
    <w:uiPriority w:val="99"/>
  </w:style>
  <w:style w:type="paragraph" w:customStyle="1" w:styleId="Eqn-List-3-MNum">
    <w:name w:val="Eqn-List-3-MNum"/>
    <w:basedOn w:val="List-3-MNum"/>
    <w:uiPriority w:val="99"/>
  </w:style>
  <w:style w:type="paragraph" w:customStyle="1" w:styleId="Eqn-List-4-MNum">
    <w:name w:val="Eqn-List-4-MNum"/>
    <w:basedOn w:val="List-4-MNum"/>
    <w:uiPriority w:val="99"/>
  </w:style>
  <w:style w:type="paragraph" w:customStyle="1" w:styleId="Eq-Definition">
    <w:name w:val="Eq-Definition"/>
    <w:basedOn w:val="Definition"/>
    <w:uiPriority w:val="99"/>
  </w:style>
  <w:style w:type="paragraph" w:customStyle="1" w:styleId="Eq-Definition-In-1">
    <w:name w:val="Eq-Definition-In-1"/>
    <w:basedOn w:val="Definition-In-1"/>
    <w:uiPriority w:val="99"/>
  </w:style>
  <w:style w:type="paragraph" w:customStyle="1" w:styleId="Eq-Definition-In-2">
    <w:name w:val="Eq-Definition-In-2"/>
    <w:basedOn w:val="Definition-In-2"/>
    <w:uiPriority w:val="99"/>
  </w:style>
  <w:style w:type="paragraph" w:customStyle="1" w:styleId="Eq-Definition-In-3">
    <w:name w:val="Eq-Definition-In-3"/>
    <w:basedOn w:val="Definition-In-3"/>
    <w:uiPriority w:val="99"/>
  </w:style>
  <w:style w:type="paragraph" w:customStyle="1" w:styleId="Eq-Definition-In-4">
    <w:name w:val="Eq-Definition-In-4"/>
    <w:basedOn w:val="Definition-In-4"/>
    <w:uiPriority w:val="99"/>
  </w:style>
  <w:style w:type="paragraph" w:customStyle="1" w:styleId="Example-Para">
    <w:name w:val="Example-Para"/>
    <w:basedOn w:val="Base-ND-Example-Para"/>
    <w:uiPriority w:val="99"/>
  </w:style>
  <w:style w:type="paragraph" w:customStyle="1" w:styleId="Base-ND-Example-Para">
    <w:name w:val="Base-ND-Example-Para"/>
    <w:basedOn w:val="Base-ND-Inclusion-Para"/>
    <w:uiPriority w:val="99"/>
  </w:style>
  <w:style w:type="paragraph" w:customStyle="1" w:styleId="Example-Para-In-1">
    <w:name w:val="Example-Para-In-1"/>
    <w:basedOn w:val="Base-ND-Example-Para"/>
    <w:uiPriority w:val="99"/>
    <w:pPr>
      <w:ind w:left="567"/>
    </w:pPr>
  </w:style>
  <w:style w:type="paragraph" w:customStyle="1" w:styleId="Example-Para-In-2">
    <w:name w:val="Example-Para-In-2"/>
    <w:basedOn w:val="Base-ND-Example-Para"/>
    <w:uiPriority w:val="99"/>
    <w:pPr>
      <w:ind w:left="1134"/>
    </w:pPr>
  </w:style>
  <w:style w:type="paragraph" w:customStyle="1" w:styleId="Example-Para-In-3">
    <w:name w:val="Example-Para-In-3"/>
    <w:basedOn w:val="Base-ND-Example-Para"/>
    <w:uiPriority w:val="99"/>
    <w:pPr>
      <w:ind w:left="1701"/>
    </w:pPr>
  </w:style>
  <w:style w:type="paragraph" w:customStyle="1" w:styleId="Example-Para-In-4">
    <w:name w:val="Example-Para-In-4"/>
    <w:basedOn w:val="Base-ND-Example-Para"/>
    <w:uiPriority w:val="99"/>
    <w:pPr>
      <w:ind w:left="2268"/>
    </w:pPr>
  </w:style>
  <w:style w:type="paragraph" w:customStyle="1" w:styleId="Example-Text-new-line-only">
    <w:name w:val="Example-Text-new-line-only"/>
    <w:basedOn w:val="Base-ND-Example-Para"/>
    <w:uiPriority w:val="99"/>
    <w:pPr>
      <w:spacing w:before="0" w:after="0"/>
    </w:pPr>
  </w:style>
  <w:style w:type="paragraph" w:customStyle="1" w:styleId="Example-Text">
    <w:name w:val="Example-Text"/>
    <w:basedOn w:val="Base-ND-Example-Para"/>
    <w:uiPriority w:val="99"/>
  </w:style>
  <w:style w:type="paragraph" w:customStyle="1" w:styleId="Example-Text-In-1">
    <w:name w:val="Example-Text-In-1"/>
    <w:basedOn w:val="Base-ND-Example-Para"/>
    <w:uiPriority w:val="99"/>
    <w:pPr>
      <w:ind w:left="567"/>
    </w:pPr>
  </w:style>
  <w:style w:type="paragraph" w:customStyle="1" w:styleId="Example-Text-In-2">
    <w:name w:val="Example-Text-In-2"/>
    <w:basedOn w:val="Base-ND-Example-Para"/>
    <w:uiPriority w:val="99"/>
    <w:pPr>
      <w:ind w:left="1134"/>
    </w:pPr>
  </w:style>
  <w:style w:type="paragraph" w:customStyle="1" w:styleId="Example-Text-In-3">
    <w:name w:val="Example-Text-In-3"/>
    <w:basedOn w:val="Base-ND-Example-Para"/>
    <w:uiPriority w:val="99"/>
    <w:pPr>
      <w:ind w:left="1701"/>
    </w:pPr>
  </w:style>
  <w:style w:type="paragraph" w:customStyle="1" w:styleId="Example-Text-In-4">
    <w:name w:val="Example-Text-In-4"/>
    <w:basedOn w:val="Base-ND-Example-Para"/>
    <w:uiPriority w:val="99"/>
    <w:pPr>
      <w:ind w:left="2268"/>
    </w:pPr>
  </w:style>
  <w:style w:type="paragraph" w:customStyle="1" w:styleId="Example-List-1-UNum">
    <w:name w:val="Example-List-1-UNum"/>
    <w:basedOn w:val="Base-ND-Example-Para"/>
    <w:uiPriority w:val="99"/>
  </w:style>
  <w:style w:type="paragraph" w:customStyle="1" w:styleId="Example-List-2-Unum">
    <w:name w:val="Example-List-2-Unum"/>
    <w:basedOn w:val="Base-ND-Example-Para"/>
    <w:uiPriority w:val="99"/>
    <w:pPr>
      <w:ind w:left="567"/>
    </w:pPr>
  </w:style>
  <w:style w:type="paragraph" w:customStyle="1" w:styleId="Example-List-3-Unum">
    <w:name w:val="Example-List-3-Unum"/>
    <w:basedOn w:val="Base-ND-Example-Para"/>
    <w:uiPriority w:val="99"/>
    <w:pPr>
      <w:ind w:left="1134"/>
    </w:pPr>
  </w:style>
  <w:style w:type="paragraph" w:customStyle="1" w:styleId="Example-List-4-Unum">
    <w:name w:val="Example-List-4-Unum"/>
    <w:basedOn w:val="Base-ND-Example-Para"/>
    <w:uiPriority w:val="99"/>
    <w:pPr>
      <w:ind w:left="1701"/>
    </w:pPr>
  </w:style>
  <w:style w:type="paragraph" w:customStyle="1" w:styleId="Example-List-1-MNum">
    <w:name w:val="Example-List-1-MNum"/>
    <w:basedOn w:val="Example-List-1-UNum"/>
    <w:uiPriority w:val="99"/>
    <w:pPr>
      <w:tabs>
        <w:tab w:val="left" w:pos="567"/>
      </w:tabs>
      <w:ind w:left="567" w:hanging="567"/>
    </w:pPr>
  </w:style>
  <w:style w:type="paragraph" w:customStyle="1" w:styleId="Example-List-2-MNum">
    <w:name w:val="Example-List-2-MNum"/>
    <w:basedOn w:val="Example-List-2-Unum"/>
    <w:uiPriority w:val="99"/>
    <w:pPr>
      <w:tabs>
        <w:tab w:val="left" w:pos="1134"/>
      </w:tabs>
      <w:ind w:left="1134" w:hanging="567"/>
    </w:pPr>
  </w:style>
  <w:style w:type="paragraph" w:customStyle="1" w:styleId="Example-List-3-MNum">
    <w:name w:val="Example-List-3-MNum"/>
    <w:basedOn w:val="Example-List-3-Unum"/>
    <w:uiPriority w:val="99"/>
    <w:pPr>
      <w:tabs>
        <w:tab w:val="left" w:pos="1701"/>
      </w:tabs>
      <w:ind w:left="1701" w:hanging="567"/>
    </w:pPr>
  </w:style>
  <w:style w:type="paragraph" w:customStyle="1" w:styleId="Example-List-4-MNum">
    <w:name w:val="Example-List-4-MNum"/>
    <w:basedOn w:val="Example-List-4-Unum"/>
    <w:uiPriority w:val="99"/>
    <w:pPr>
      <w:tabs>
        <w:tab w:val="left" w:pos="2268"/>
      </w:tabs>
      <w:ind w:left="2268" w:hanging="567"/>
    </w:pPr>
  </w:style>
  <w:style w:type="paragraph" w:customStyle="1" w:styleId="Example-List-1-bull">
    <w:name w:val="Example-List-1-bull"/>
    <w:basedOn w:val="Example-List-1-MNum"/>
    <w:uiPriority w:val="99"/>
  </w:style>
  <w:style w:type="paragraph" w:customStyle="1" w:styleId="Example-List-2-bull">
    <w:name w:val="Example-List-2-bull"/>
    <w:basedOn w:val="Example-List-2-MNum"/>
    <w:uiPriority w:val="99"/>
  </w:style>
  <w:style w:type="paragraph" w:customStyle="1" w:styleId="Example-List-3-bull">
    <w:name w:val="Example-List-3-bull"/>
    <w:basedOn w:val="Example-List-3-MNum"/>
    <w:uiPriority w:val="99"/>
  </w:style>
  <w:style w:type="paragraph" w:customStyle="1" w:styleId="Example-List-1-ANum">
    <w:name w:val="Example-List-1-ANum"/>
    <w:basedOn w:val="Example-List-1-MNum"/>
    <w:uiPriority w:val="99"/>
  </w:style>
  <w:style w:type="paragraph" w:customStyle="1" w:styleId="Example-List-2-ANum">
    <w:name w:val="Example-List-2-ANum"/>
    <w:basedOn w:val="Example-List-2-MNum"/>
    <w:uiPriority w:val="99"/>
  </w:style>
  <w:style w:type="paragraph" w:customStyle="1" w:styleId="Example-List-3-ANum">
    <w:name w:val="Example-List-3-ANum"/>
    <w:basedOn w:val="Example-List-3-MNum"/>
    <w:uiPriority w:val="99"/>
  </w:style>
  <w:style w:type="paragraph" w:customStyle="1" w:styleId="Example-Title-UNum">
    <w:name w:val="Example-Title-UNum"/>
    <w:basedOn w:val="Inclusion-Title-UNum"/>
    <w:uiPriority w:val="99"/>
  </w:style>
  <w:style w:type="paragraph" w:customStyle="1" w:styleId="Example-Title-UNum-In-1">
    <w:name w:val="Example-Title-UNum-In-1"/>
    <w:basedOn w:val="Inclusion-Title-UNum-In-1"/>
    <w:uiPriority w:val="99"/>
  </w:style>
  <w:style w:type="paragraph" w:customStyle="1" w:styleId="Example-Title-UNum-In-2">
    <w:name w:val="Example-Title-UNum-In-2"/>
    <w:basedOn w:val="Inclusion-Title-UNum-In-2"/>
    <w:uiPriority w:val="99"/>
  </w:style>
  <w:style w:type="paragraph" w:customStyle="1" w:styleId="Example-Title-UNum-In-3">
    <w:name w:val="Example-Title-UNum-In-3"/>
    <w:basedOn w:val="Inclusion-Title-UNum-In-3"/>
    <w:uiPriority w:val="99"/>
  </w:style>
  <w:style w:type="paragraph" w:customStyle="1" w:styleId="Example-Title-MNum">
    <w:name w:val="Example-Title-MNum"/>
    <w:basedOn w:val="Inclusion-Title-MNum"/>
    <w:uiPriority w:val="99"/>
  </w:style>
  <w:style w:type="paragraph" w:customStyle="1" w:styleId="Example-Title-MNum-In-1">
    <w:name w:val="Example-Title-MNum-In-1"/>
    <w:basedOn w:val="Inclusion-Title-MNum-In-1"/>
    <w:uiPriority w:val="99"/>
  </w:style>
  <w:style w:type="paragraph" w:customStyle="1" w:styleId="Example-Title-MNum-In-2">
    <w:name w:val="Example-Title-MNum-In-2"/>
    <w:basedOn w:val="Inclusion-Title-MNum-In-2"/>
    <w:uiPriority w:val="99"/>
  </w:style>
  <w:style w:type="paragraph" w:customStyle="1" w:styleId="Example-Title-MNum-In-3">
    <w:name w:val="Example-Title-MNum-In-3"/>
    <w:basedOn w:val="Inclusion-Title-MNum-In-3"/>
    <w:uiPriority w:val="99"/>
  </w:style>
  <w:style w:type="paragraph" w:customStyle="1" w:styleId="Example-Title-ANum">
    <w:name w:val="Example-Title-ANum"/>
    <w:basedOn w:val="Example-Title-MNum"/>
    <w:uiPriority w:val="99"/>
  </w:style>
  <w:style w:type="paragraph" w:customStyle="1" w:styleId="Example-Title-ANum-In-1">
    <w:name w:val="Example-Title-ANum-In-1"/>
    <w:basedOn w:val="Example-Title-MNum-In-1"/>
    <w:uiPriority w:val="99"/>
  </w:style>
  <w:style w:type="paragraph" w:customStyle="1" w:styleId="Example-Title-ANum-In-2">
    <w:name w:val="Example-Title-ANum-In-2"/>
    <w:basedOn w:val="Example-Title-MNum-In-2"/>
    <w:uiPriority w:val="99"/>
  </w:style>
  <w:style w:type="paragraph" w:customStyle="1" w:styleId="Example-Title-ANum-In-3">
    <w:name w:val="Example-Title-ANum-In-3"/>
    <w:basedOn w:val="Example-Title-MNum-In-3"/>
    <w:uiPriority w:val="99"/>
  </w:style>
  <w:style w:type="paragraph" w:customStyle="1" w:styleId="Head-1-example-item">
    <w:name w:val="Head-1-example-item"/>
    <w:basedOn w:val="Head-1-inclusion-item"/>
    <w:uiPriority w:val="99"/>
  </w:style>
  <w:style w:type="paragraph" w:customStyle="1" w:styleId="Head-2-example-item">
    <w:name w:val="Head-2-example-item"/>
    <w:basedOn w:val="Head-2-inclusion-item"/>
    <w:uiPriority w:val="99"/>
  </w:style>
  <w:style w:type="paragraph" w:customStyle="1" w:styleId="Head-3-example-item">
    <w:name w:val="Head-3-example-item"/>
    <w:basedOn w:val="Head-3-inclusion-item"/>
    <w:uiPriority w:val="99"/>
  </w:style>
  <w:style w:type="paragraph" w:customStyle="1" w:styleId="Head-1-example-item-MNum">
    <w:name w:val="Head-1-example-item-MNum"/>
    <w:basedOn w:val="Head-1-inclusion-item-MNum"/>
    <w:uiPriority w:val="99"/>
  </w:style>
  <w:style w:type="paragraph" w:customStyle="1" w:styleId="Head-2-example-item-MNum">
    <w:name w:val="Head-2-example-item-MNum"/>
    <w:basedOn w:val="Head-2-inclusion-item-MNum"/>
    <w:uiPriority w:val="99"/>
  </w:style>
  <w:style w:type="paragraph" w:customStyle="1" w:styleId="Head-3-example-item-MNum">
    <w:name w:val="Head-3-example-item-MNum"/>
    <w:basedOn w:val="Head-3-inclusion-item-MNum"/>
    <w:uiPriority w:val="99"/>
  </w:style>
  <w:style w:type="paragraph" w:customStyle="1" w:styleId="Head-1-example-item-ANum">
    <w:name w:val="Head-1-example-item-ANum"/>
    <w:basedOn w:val="Head-1-inclusion-item-MNum"/>
    <w:uiPriority w:val="99"/>
  </w:style>
  <w:style w:type="paragraph" w:customStyle="1" w:styleId="Head-2-example-item-ANum">
    <w:name w:val="Head-2-example-item-ANum"/>
    <w:basedOn w:val="Head-2-inclusion-item-MNum"/>
    <w:uiPriority w:val="99"/>
  </w:style>
  <w:style w:type="paragraph" w:customStyle="1" w:styleId="Head-3-example-item-ANum">
    <w:name w:val="Head-3-example-item-ANum"/>
    <w:basedOn w:val="Head-3-inclusion-item-MNum"/>
    <w:uiPriority w:val="99"/>
  </w:style>
  <w:style w:type="paragraph" w:customStyle="1" w:styleId="Explain-Title-UNum">
    <w:name w:val="Explain-Title-UNum"/>
    <w:basedOn w:val="Inclusion-Title-UNum"/>
    <w:uiPriority w:val="99"/>
  </w:style>
  <w:style w:type="paragraph" w:customStyle="1" w:styleId="Explain-Title-UNum-In-1">
    <w:name w:val="Explain-Title-UNum-In-1"/>
    <w:basedOn w:val="Inclusion-Title-UNum-In-1"/>
    <w:uiPriority w:val="99"/>
  </w:style>
  <w:style w:type="paragraph" w:customStyle="1" w:styleId="Explain-Title-UNum-In-2">
    <w:name w:val="Explain-Title-UNum-In-2"/>
    <w:basedOn w:val="Inclusion-Title-UNum-In-2"/>
    <w:uiPriority w:val="99"/>
  </w:style>
  <w:style w:type="paragraph" w:customStyle="1" w:styleId="Explain-Title-UNum-In-3">
    <w:name w:val="Explain-Title-UNum-In-3"/>
    <w:basedOn w:val="Inclusion-Title-UNum-In-3"/>
    <w:uiPriority w:val="99"/>
  </w:style>
  <w:style w:type="paragraph" w:customStyle="1" w:styleId="Head-1-explain-item">
    <w:name w:val="Head-1-explain-item"/>
    <w:basedOn w:val="Head-1-inclusion-item"/>
    <w:uiPriority w:val="99"/>
  </w:style>
  <w:style w:type="paragraph" w:customStyle="1" w:styleId="Head-2-explain-item">
    <w:name w:val="Head-2-explain-item"/>
    <w:basedOn w:val="Head-2-inclusion-item"/>
    <w:uiPriority w:val="99"/>
  </w:style>
  <w:style w:type="paragraph" w:customStyle="1" w:styleId="Head-3-explain-item">
    <w:name w:val="Head-3-explain-item"/>
    <w:basedOn w:val="Head-3-inclusion-item"/>
    <w:uiPriority w:val="99"/>
  </w:style>
  <w:style w:type="paragraph" w:customStyle="1" w:styleId="Head-1-explain-item-MNum">
    <w:name w:val="Head-1-explain-item-MNum"/>
    <w:basedOn w:val="Head-1-inclusion-item-MNum"/>
    <w:uiPriority w:val="99"/>
  </w:style>
  <w:style w:type="paragraph" w:customStyle="1" w:styleId="Head-2-explain-item-MNum">
    <w:name w:val="Head-2-explain-item-MNum"/>
    <w:basedOn w:val="Head-2-inclusion-item-MNum"/>
    <w:uiPriority w:val="99"/>
  </w:style>
  <w:style w:type="paragraph" w:customStyle="1" w:styleId="Head-3-explain-item-MNum">
    <w:name w:val="Head-3-explain-item-MNum"/>
    <w:basedOn w:val="Head-3-inclusion-item-MNum"/>
    <w:uiPriority w:val="99"/>
  </w:style>
  <w:style w:type="paragraph" w:customStyle="1" w:styleId="Head-1-explain-item-ANum">
    <w:name w:val="Head-1-explain-item-ANum"/>
    <w:basedOn w:val="Head-1-inclusion-item-MNum"/>
    <w:uiPriority w:val="99"/>
  </w:style>
  <w:style w:type="paragraph" w:customStyle="1" w:styleId="Head-2-explain-item-ANum">
    <w:name w:val="Head-2-explain-item-ANum"/>
    <w:basedOn w:val="Head-2-inclusion-item-MNum"/>
    <w:uiPriority w:val="99"/>
  </w:style>
  <w:style w:type="paragraph" w:customStyle="1" w:styleId="Head-3-explain-item-ANum">
    <w:name w:val="Head-3-explain-item-ANum"/>
    <w:basedOn w:val="Head-3-inclusion-item-MNum"/>
    <w:uiPriority w:val="99"/>
  </w:style>
  <w:style w:type="paragraph" w:customStyle="1" w:styleId="Explain-Para">
    <w:name w:val="Explain-Para"/>
    <w:basedOn w:val="Base-ND-Explain-Para"/>
    <w:uiPriority w:val="99"/>
  </w:style>
  <w:style w:type="paragraph" w:customStyle="1" w:styleId="Base-ND-Explain-Para">
    <w:name w:val="Base-ND-Explain-Para"/>
    <w:basedOn w:val="Base-ND-Inclusion-Para"/>
    <w:uiPriority w:val="99"/>
  </w:style>
  <w:style w:type="paragraph" w:customStyle="1" w:styleId="Explain-Para-In-1">
    <w:name w:val="Explain-Para-In-1"/>
    <w:basedOn w:val="Base-ND-Explain-Para"/>
    <w:uiPriority w:val="99"/>
    <w:pPr>
      <w:ind w:left="567"/>
    </w:pPr>
  </w:style>
  <w:style w:type="paragraph" w:customStyle="1" w:styleId="Explain-Para-In-2">
    <w:name w:val="Explain-Para-In-2"/>
    <w:basedOn w:val="Base-ND-Explain-Para"/>
    <w:uiPriority w:val="99"/>
    <w:pPr>
      <w:ind w:left="1134"/>
    </w:pPr>
  </w:style>
  <w:style w:type="paragraph" w:customStyle="1" w:styleId="Explain-Para-In-3">
    <w:name w:val="Explain-Para-In-3"/>
    <w:basedOn w:val="Base-ND-Explain-Para"/>
    <w:uiPriority w:val="99"/>
    <w:pPr>
      <w:ind w:left="1701"/>
    </w:pPr>
  </w:style>
  <w:style w:type="paragraph" w:customStyle="1" w:styleId="Explain-Para-In-4">
    <w:name w:val="Explain-Para-In-4"/>
    <w:basedOn w:val="Base-ND-Explain-Para"/>
    <w:uiPriority w:val="99"/>
    <w:pPr>
      <w:ind w:left="2268"/>
    </w:pPr>
  </w:style>
  <w:style w:type="paragraph" w:customStyle="1" w:styleId="Explain-Text-new-line-only">
    <w:name w:val="Explain-Text-new-line-only"/>
    <w:basedOn w:val="Base-ND-Explain-Para"/>
    <w:uiPriority w:val="99"/>
    <w:pPr>
      <w:spacing w:before="0" w:after="0"/>
    </w:pPr>
  </w:style>
  <w:style w:type="paragraph" w:customStyle="1" w:styleId="Explain-Text">
    <w:name w:val="Explain-Text"/>
    <w:basedOn w:val="Base-ND-Explain-Para"/>
    <w:uiPriority w:val="99"/>
  </w:style>
  <w:style w:type="paragraph" w:customStyle="1" w:styleId="Explain-Text-In-1">
    <w:name w:val="Explain-Text-In-1"/>
    <w:basedOn w:val="Explain-Para-In-1"/>
    <w:uiPriority w:val="99"/>
  </w:style>
  <w:style w:type="paragraph" w:customStyle="1" w:styleId="Explain-Text-In-2">
    <w:name w:val="Explain-Text-In-2"/>
    <w:basedOn w:val="Explain-Para-In-2"/>
    <w:uiPriority w:val="99"/>
  </w:style>
  <w:style w:type="paragraph" w:customStyle="1" w:styleId="Explain-Text-In-3">
    <w:name w:val="Explain-Text-In-3"/>
    <w:basedOn w:val="Explain-Para-In-3"/>
    <w:uiPriority w:val="99"/>
  </w:style>
  <w:style w:type="paragraph" w:customStyle="1" w:styleId="Explain-Text-In-4">
    <w:name w:val="Explain-Text-In-4"/>
    <w:basedOn w:val="Explain-Para-In-4"/>
    <w:uiPriority w:val="99"/>
  </w:style>
  <w:style w:type="paragraph" w:customStyle="1" w:styleId="Explain-List-1-UNum">
    <w:name w:val="Explain-List-1-UNum"/>
    <w:basedOn w:val="Base-ND-Explain-Para"/>
    <w:uiPriority w:val="99"/>
  </w:style>
  <w:style w:type="paragraph" w:customStyle="1" w:styleId="Explain-List-2-Unum">
    <w:name w:val="Explain-List-2-Unum"/>
    <w:basedOn w:val="Base-ND-Explain-Para"/>
    <w:uiPriority w:val="99"/>
    <w:pPr>
      <w:ind w:left="567"/>
    </w:pPr>
  </w:style>
  <w:style w:type="paragraph" w:customStyle="1" w:styleId="Explain-List-3-Unum">
    <w:name w:val="Explain-List-3-Unum"/>
    <w:basedOn w:val="Base-ND-Explain-Para"/>
    <w:uiPriority w:val="99"/>
    <w:pPr>
      <w:ind w:left="1134"/>
    </w:pPr>
  </w:style>
  <w:style w:type="paragraph" w:customStyle="1" w:styleId="Explain-List-4-Unum">
    <w:name w:val="Explain-List-4-Unum"/>
    <w:basedOn w:val="Base-ND-Explain-Para"/>
    <w:uiPriority w:val="99"/>
    <w:pPr>
      <w:ind w:left="1701"/>
    </w:pPr>
  </w:style>
  <w:style w:type="paragraph" w:customStyle="1" w:styleId="Explain-List-1-MNum">
    <w:name w:val="Explain-List-1-MNum"/>
    <w:basedOn w:val="Explain-List-1-UNum"/>
    <w:uiPriority w:val="99"/>
    <w:pPr>
      <w:tabs>
        <w:tab w:val="left" w:pos="567"/>
      </w:tabs>
      <w:ind w:left="567" w:hanging="567"/>
    </w:pPr>
  </w:style>
  <w:style w:type="paragraph" w:customStyle="1" w:styleId="Explain-List-2-MNum">
    <w:name w:val="Explain-List-2-MNum"/>
    <w:basedOn w:val="Explain-List-2-Unum"/>
    <w:uiPriority w:val="99"/>
    <w:pPr>
      <w:tabs>
        <w:tab w:val="left" w:pos="1134"/>
      </w:tabs>
      <w:ind w:left="1134" w:hanging="567"/>
    </w:pPr>
  </w:style>
  <w:style w:type="paragraph" w:customStyle="1" w:styleId="Explain-List-3-MNum">
    <w:name w:val="Explain-List-3-MNum"/>
    <w:basedOn w:val="Explain-List-3-Unum"/>
    <w:uiPriority w:val="99"/>
    <w:pPr>
      <w:tabs>
        <w:tab w:val="left" w:pos="1701"/>
      </w:tabs>
      <w:ind w:left="1701" w:hanging="567"/>
    </w:pPr>
  </w:style>
  <w:style w:type="paragraph" w:customStyle="1" w:styleId="Explain-List-4-MNum">
    <w:name w:val="Explain-List-4-MNum"/>
    <w:basedOn w:val="Explain-List-4-Unum"/>
    <w:uiPriority w:val="99"/>
    <w:pPr>
      <w:tabs>
        <w:tab w:val="left" w:pos="2268"/>
      </w:tabs>
      <w:ind w:left="2268" w:hanging="567"/>
    </w:pPr>
  </w:style>
  <w:style w:type="paragraph" w:customStyle="1" w:styleId="Explain-List-1-bull">
    <w:name w:val="Explain-List-1-bull"/>
    <w:basedOn w:val="Explain-List-1-MNum"/>
    <w:uiPriority w:val="99"/>
  </w:style>
  <w:style w:type="paragraph" w:customStyle="1" w:styleId="Explain-List-2-bull">
    <w:name w:val="Explain-List-2-bull"/>
    <w:basedOn w:val="Explain-List-2-MNum"/>
    <w:uiPriority w:val="99"/>
  </w:style>
  <w:style w:type="paragraph" w:customStyle="1" w:styleId="Explain-List-3-bull">
    <w:name w:val="Explain-List-3-bull"/>
    <w:basedOn w:val="Explain-List-3-MNum"/>
    <w:uiPriority w:val="99"/>
  </w:style>
  <w:style w:type="paragraph" w:customStyle="1" w:styleId="Explain-List-1-ANum">
    <w:name w:val="Explain-List-1-ANum"/>
    <w:basedOn w:val="Explain-List-1-MNum"/>
    <w:uiPriority w:val="99"/>
  </w:style>
  <w:style w:type="paragraph" w:customStyle="1" w:styleId="Explain-List-2-ANum">
    <w:name w:val="Explain-List-2-ANum"/>
    <w:basedOn w:val="Explain-List-2-MNum"/>
    <w:uiPriority w:val="99"/>
  </w:style>
  <w:style w:type="paragraph" w:customStyle="1" w:styleId="Explain-List-3-ANum">
    <w:name w:val="Explain-List-3-ANum"/>
    <w:basedOn w:val="Explain-List-3-MNum"/>
    <w:uiPriority w:val="99"/>
  </w:style>
  <w:style w:type="paragraph" w:customStyle="1" w:styleId="Fig-Title-UNum-In-2">
    <w:name w:val="Fig-Title-UNum-In-2"/>
    <w:basedOn w:val="Inclusion-Title-UNum-In-2"/>
    <w:uiPriority w:val="99"/>
  </w:style>
  <w:style w:type="paragraph" w:customStyle="1" w:styleId="Fig-Title-UNum-In-3">
    <w:name w:val="Fig-Title-UNum-In-3"/>
    <w:basedOn w:val="Inclusion-Title-UNum-In-3"/>
    <w:uiPriority w:val="99"/>
  </w:style>
  <w:style w:type="paragraph" w:customStyle="1" w:styleId="Fig-Title-MNum">
    <w:name w:val="Fig-Title-MNum"/>
    <w:basedOn w:val="Inclusion-Title-MNum"/>
    <w:uiPriority w:val="99"/>
  </w:style>
  <w:style w:type="paragraph" w:customStyle="1" w:styleId="Fig-Title-MNum-In-1">
    <w:name w:val="Fig-Title-MNum-In-1"/>
    <w:basedOn w:val="Inclusion-Title-MNum-In-1"/>
    <w:uiPriority w:val="99"/>
  </w:style>
  <w:style w:type="paragraph" w:customStyle="1" w:styleId="Fig-Title-MNum-In-2">
    <w:name w:val="Fig-Title-MNum-In-2"/>
    <w:basedOn w:val="Inclusion-Title-MNum-In-2"/>
    <w:uiPriority w:val="99"/>
  </w:style>
  <w:style w:type="paragraph" w:customStyle="1" w:styleId="Fig-Title-MNum-In-3">
    <w:name w:val="Fig-Title-MNum-In-3"/>
    <w:basedOn w:val="Inclusion-Title-MNum-In-3"/>
    <w:uiPriority w:val="99"/>
  </w:style>
  <w:style w:type="paragraph" w:customStyle="1" w:styleId="Fig-Title-ANum">
    <w:name w:val="Fig-Title-ANum"/>
    <w:basedOn w:val="Inclusion-Title-MNum"/>
    <w:uiPriority w:val="99"/>
  </w:style>
  <w:style w:type="paragraph" w:customStyle="1" w:styleId="Fig-Title-ANum-In-1">
    <w:name w:val="Fig-Title-ANum-In-1"/>
    <w:basedOn w:val="Inclusion-Title-MNum-In-1"/>
    <w:uiPriority w:val="99"/>
  </w:style>
  <w:style w:type="paragraph" w:customStyle="1" w:styleId="Fig-Title-ANum-In-2">
    <w:name w:val="Fig-Title-ANum-In-2"/>
    <w:basedOn w:val="Inclusion-Title-MNum-In-2"/>
    <w:uiPriority w:val="99"/>
  </w:style>
  <w:style w:type="paragraph" w:customStyle="1" w:styleId="Fig-Title-ANum-In-3">
    <w:name w:val="Fig-Title-ANum-In-3"/>
    <w:basedOn w:val="Inclusion-Title-MNum-In-3"/>
    <w:uiPriority w:val="99"/>
  </w:style>
  <w:style w:type="paragraph" w:customStyle="1" w:styleId="Fig-Para">
    <w:name w:val="Fig-Para"/>
    <w:basedOn w:val="Base-ND-Para"/>
    <w:uiPriority w:val="99"/>
  </w:style>
  <w:style w:type="paragraph" w:customStyle="1" w:styleId="Fig-Para-Centred">
    <w:name w:val="Fig-Para-Centred"/>
    <w:basedOn w:val="Para-Centred"/>
    <w:uiPriority w:val="99"/>
  </w:style>
  <w:style w:type="paragraph" w:customStyle="1" w:styleId="Fig-Para-Right">
    <w:name w:val="Fig-Para-Right"/>
    <w:basedOn w:val="Para-Right"/>
    <w:uiPriority w:val="99"/>
  </w:style>
  <w:style w:type="paragraph" w:customStyle="1" w:styleId="Fig-Para-In-1">
    <w:name w:val="Fig-Para-In-1"/>
    <w:basedOn w:val="Para-In-1"/>
    <w:uiPriority w:val="99"/>
  </w:style>
  <w:style w:type="paragraph" w:customStyle="1" w:styleId="Fig-Para-In-2">
    <w:name w:val="Fig-Para-In-2"/>
    <w:basedOn w:val="Para-In-2"/>
    <w:uiPriority w:val="99"/>
  </w:style>
  <w:style w:type="paragraph" w:customStyle="1" w:styleId="Fig-Para-In-3">
    <w:name w:val="Fig-Para-In-3"/>
    <w:basedOn w:val="Para-In-3"/>
    <w:uiPriority w:val="99"/>
  </w:style>
  <w:style w:type="paragraph" w:customStyle="1" w:styleId="Fig-Para-In-4">
    <w:name w:val="Fig-Para-In-4"/>
    <w:basedOn w:val="Para-In-4"/>
    <w:uiPriority w:val="99"/>
  </w:style>
  <w:style w:type="paragraph" w:customStyle="1" w:styleId="Question-Title-UNum-In-1">
    <w:name w:val="Question-Title-UNum-In-1"/>
    <w:basedOn w:val="Inclusion-Title-UNum-In-1"/>
    <w:uiPriority w:val="99"/>
    <w:pPr>
      <w:spacing w:before="120" w:after="240"/>
    </w:pPr>
  </w:style>
  <w:style w:type="paragraph" w:customStyle="1" w:styleId="Question-Title-UNum-In-2">
    <w:name w:val="Question-Title-UNum-In-2"/>
    <w:basedOn w:val="Inclusion-Title-UNum-In-2"/>
    <w:uiPriority w:val="99"/>
    <w:pPr>
      <w:spacing w:before="120" w:after="240"/>
    </w:pPr>
  </w:style>
  <w:style w:type="paragraph" w:customStyle="1" w:styleId="Question-Title-UNum-In-3">
    <w:name w:val="Question-Title-UNum-In-3"/>
    <w:basedOn w:val="Inclusion-Title-UNum-In-3"/>
    <w:uiPriority w:val="99"/>
    <w:pPr>
      <w:spacing w:before="120" w:after="240"/>
    </w:pPr>
  </w:style>
  <w:style w:type="paragraph" w:customStyle="1" w:styleId="Question-Title-MNum">
    <w:name w:val="Question-Title-MNum"/>
    <w:basedOn w:val="Question-Title-Un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Question-Title-MNum-In-1">
    <w:name w:val="Question-Title-MNum-In-1"/>
    <w:basedOn w:val="Question-Title-UNum-In-1"/>
    <w:uiPriority w:val="99"/>
    <w:pPr>
      <w:tabs>
        <w:tab w:val="left" w:pos="2268"/>
      </w:tabs>
      <w:ind w:left="2268" w:hanging="1701"/>
    </w:pPr>
  </w:style>
  <w:style w:type="paragraph" w:customStyle="1" w:styleId="Question-Title-MNum-In-2">
    <w:name w:val="Question-Title-MNum-In-2"/>
    <w:basedOn w:val="Question-Title-UNum-In-2"/>
    <w:uiPriority w:val="99"/>
    <w:pPr>
      <w:tabs>
        <w:tab w:val="left" w:pos="2835"/>
      </w:tabs>
      <w:ind w:left="2835" w:hanging="1701"/>
    </w:pPr>
  </w:style>
  <w:style w:type="paragraph" w:customStyle="1" w:styleId="Question-Title-MNum-In-3">
    <w:name w:val="Question-Title-MNum-In-3"/>
    <w:basedOn w:val="Question-Title-UNum-In-3"/>
    <w:uiPriority w:val="99"/>
    <w:pPr>
      <w:tabs>
        <w:tab w:val="left" w:pos="3402"/>
      </w:tabs>
      <w:ind w:left="3402" w:hanging="1701"/>
    </w:pPr>
  </w:style>
  <w:style w:type="paragraph" w:customStyle="1" w:styleId="Question-Title-ANum">
    <w:name w:val="Question-Title-ANum"/>
    <w:basedOn w:val="Question-Title-MNum"/>
    <w:uiPriority w:val="99"/>
  </w:style>
  <w:style w:type="paragraph" w:customStyle="1" w:styleId="Question-Title-ANum-In-1">
    <w:name w:val="Question-Title-ANum-In-1"/>
    <w:basedOn w:val="Question-Title-MNum-In-1"/>
    <w:uiPriority w:val="99"/>
  </w:style>
  <w:style w:type="paragraph" w:customStyle="1" w:styleId="Question-Title-ANum-In-2">
    <w:name w:val="Question-Title-ANum-In-2"/>
    <w:basedOn w:val="Question-Title-MNum-In-2"/>
    <w:uiPriority w:val="99"/>
  </w:style>
  <w:style w:type="paragraph" w:customStyle="1" w:styleId="Question-Title-ANum-In-3">
    <w:name w:val="Question-Title-ANum-In-3"/>
    <w:basedOn w:val="Question-Title-MNum-In-3"/>
    <w:uiPriority w:val="99"/>
  </w:style>
  <w:style w:type="paragraph" w:customStyle="1" w:styleId="Base-Question-Para">
    <w:name w:val="Base-Question-Para"/>
    <w:basedOn w:val="Base-ND-Para"/>
    <w:uiPriority w:val="99"/>
    <w:rPr>
      <w:b/>
      <w:bCs/>
    </w:rPr>
  </w:style>
  <w:style w:type="paragraph" w:customStyle="1" w:styleId="Question-Para">
    <w:name w:val="Question-Para"/>
    <w:basedOn w:val="Base-Question-Para"/>
    <w:uiPriority w:val="99"/>
  </w:style>
  <w:style w:type="paragraph" w:customStyle="1" w:styleId="Question-Para-In-1">
    <w:name w:val="Question-Para-In-1"/>
    <w:basedOn w:val="Base-Question-Para"/>
    <w:uiPriority w:val="99"/>
    <w:pPr>
      <w:ind w:left="567"/>
    </w:pPr>
  </w:style>
  <w:style w:type="paragraph" w:customStyle="1" w:styleId="QuestionPara-In-2">
    <w:name w:val="Question Para-In-2"/>
    <w:basedOn w:val="Base-Question-Para"/>
    <w:uiPriority w:val="99"/>
    <w:pPr>
      <w:ind w:left="1134"/>
    </w:pPr>
  </w:style>
  <w:style w:type="paragraph" w:customStyle="1" w:styleId="QuestionPara-In-3">
    <w:name w:val="Question Para-In-3"/>
    <w:basedOn w:val="Base-Question-Para"/>
    <w:uiPriority w:val="99"/>
    <w:pPr>
      <w:ind w:left="1701"/>
    </w:pPr>
  </w:style>
  <w:style w:type="paragraph" w:customStyle="1" w:styleId="Question-List-1-UNum">
    <w:name w:val="Question-List-1-UNum"/>
    <w:basedOn w:val="Base-Question-Para"/>
    <w:uiPriority w:val="99"/>
  </w:style>
  <w:style w:type="paragraph" w:customStyle="1" w:styleId="Question-List-2-UNum">
    <w:name w:val="Question-List-2-UNum"/>
    <w:basedOn w:val="Base-Question-Para"/>
    <w:uiPriority w:val="99"/>
    <w:pPr>
      <w:ind w:left="567"/>
    </w:pPr>
  </w:style>
  <w:style w:type="paragraph" w:customStyle="1" w:styleId="Question-List-3-UNum">
    <w:name w:val="Question-List-3-UNum"/>
    <w:basedOn w:val="Base-Question-Para"/>
    <w:uiPriority w:val="99"/>
    <w:pPr>
      <w:ind w:left="1134"/>
    </w:pPr>
  </w:style>
  <w:style w:type="paragraph" w:customStyle="1" w:styleId="Question-List-1-MNum">
    <w:name w:val="Question-List-1-MNum"/>
    <w:basedOn w:val="Question-List-1-UNum"/>
    <w:uiPriority w:val="99"/>
    <w:pPr>
      <w:tabs>
        <w:tab w:val="left" w:pos="567"/>
      </w:tabs>
      <w:ind w:left="567" w:hanging="567"/>
    </w:pPr>
  </w:style>
  <w:style w:type="paragraph" w:customStyle="1" w:styleId="Question-List-2-MNum">
    <w:name w:val="Question-List-2-MNum"/>
    <w:basedOn w:val="Question-List-2-UNum"/>
    <w:uiPriority w:val="99"/>
    <w:pPr>
      <w:tabs>
        <w:tab w:val="left" w:pos="1134"/>
      </w:tabs>
      <w:ind w:left="1134" w:hanging="567"/>
    </w:pPr>
  </w:style>
  <w:style w:type="paragraph" w:customStyle="1" w:styleId="Question-List-3-MNum">
    <w:name w:val="Question-List-3-MNum"/>
    <w:basedOn w:val="Question-List-3-UNum"/>
    <w:uiPriority w:val="99"/>
    <w:pPr>
      <w:tabs>
        <w:tab w:val="left" w:pos="1701"/>
      </w:tabs>
      <w:ind w:left="1701" w:hanging="567"/>
    </w:pPr>
  </w:style>
  <w:style w:type="paragraph" w:customStyle="1" w:styleId="Question-List-1-Bull">
    <w:name w:val="Question-List-1-Bull"/>
    <w:basedOn w:val="Question-List-1-MNum"/>
    <w:uiPriority w:val="99"/>
  </w:style>
  <w:style w:type="paragraph" w:customStyle="1" w:styleId="Question-List-2-Bull">
    <w:name w:val="Question-List-2-Bull"/>
    <w:basedOn w:val="Question-List-2-MNum"/>
    <w:uiPriority w:val="99"/>
  </w:style>
  <w:style w:type="paragraph" w:customStyle="1" w:styleId="Question-List-3-Bull">
    <w:name w:val="Question-List-3-Bull"/>
    <w:basedOn w:val="Question-List-3-MNum"/>
    <w:uiPriority w:val="99"/>
  </w:style>
  <w:style w:type="paragraph" w:customStyle="1" w:styleId="Question-List-1-ANum">
    <w:name w:val="Question-List-1-ANum"/>
    <w:basedOn w:val="Question-List-1-MNum"/>
    <w:uiPriority w:val="99"/>
  </w:style>
  <w:style w:type="paragraph" w:customStyle="1" w:styleId="Question-List-2-ANum">
    <w:name w:val="Question-List-2-ANum"/>
    <w:basedOn w:val="Question-List-2-MNum"/>
    <w:uiPriority w:val="99"/>
  </w:style>
  <w:style w:type="paragraph" w:customStyle="1" w:styleId="Question-List-3-ANum">
    <w:name w:val="Question-List-3-ANum"/>
    <w:basedOn w:val="Question-List-3-MNum"/>
    <w:uiPriority w:val="99"/>
  </w:style>
  <w:style w:type="paragraph" w:customStyle="1" w:styleId="Base-Quote-Item-Title">
    <w:name w:val="Base-Quote-Item-Title"/>
    <w:basedOn w:val="Base-ND-Title"/>
    <w:uiPriority w:val="99"/>
    <w:pPr>
      <w:spacing w:before="120" w:after="120"/>
      <w:ind w:left="567"/>
    </w:pPr>
    <w:rPr>
      <w:sz w:val="22"/>
      <w:szCs w:val="22"/>
    </w:rPr>
  </w:style>
  <w:style w:type="paragraph" w:customStyle="1" w:styleId="Head-1-quote-item">
    <w:name w:val="Head-1-quote-item"/>
    <w:basedOn w:val="Base-Quote-Item-Title"/>
    <w:uiPriority w:val="99"/>
  </w:style>
  <w:style w:type="paragraph" w:customStyle="1" w:styleId="Head-2-quote-item">
    <w:name w:val="Head-2-quote-item"/>
    <w:basedOn w:val="Base-Quote-Item-Title"/>
    <w:uiPriority w:val="99"/>
    <w:rPr>
      <w:sz w:val="20"/>
      <w:szCs w:val="20"/>
    </w:rPr>
  </w:style>
  <w:style w:type="paragraph" w:customStyle="1" w:styleId="Head-3-quote-item">
    <w:name w:val="Head-3-quote-item"/>
    <w:basedOn w:val="Base-Quote-Item-Title"/>
    <w:uiPriority w:val="99"/>
    <w:rPr>
      <w:sz w:val="20"/>
      <w:szCs w:val="20"/>
    </w:rPr>
  </w:style>
  <w:style w:type="paragraph" w:customStyle="1" w:styleId="Head-1-quote-item-MNum">
    <w:name w:val="Head-1-quote-item-MNum"/>
    <w:basedOn w:val="Head-1-quote-item"/>
    <w:uiPriority w:val="99"/>
    <w:pPr>
      <w:tabs>
        <w:tab w:val="left" w:pos="1134"/>
      </w:tabs>
      <w:ind w:left="1134" w:hanging="567"/>
    </w:pPr>
  </w:style>
  <w:style w:type="paragraph" w:customStyle="1" w:styleId="Head-2-quote-item-MNum">
    <w:name w:val="Head-2-quote-item-MNum"/>
    <w:basedOn w:val="Head-2-quote-item"/>
    <w:uiPriority w:val="99"/>
    <w:pPr>
      <w:tabs>
        <w:tab w:val="left" w:pos="1134"/>
      </w:tabs>
      <w:ind w:left="1134" w:hanging="567"/>
    </w:pPr>
  </w:style>
  <w:style w:type="paragraph" w:customStyle="1" w:styleId="Head-3-quote-item-MNum">
    <w:name w:val="Head-3-quote-item-MNum"/>
    <w:basedOn w:val="Head-3-quote-item"/>
    <w:uiPriority w:val="99"/>
    <w:pPr>
      <w:tabs>
        <w:tab w:val="left" w:pos="1134"/>
      </w:tabs>
      <w:ind w:left="1134" w:hanging="567"/>
    </w:pPr>
  </w:style>
  <w:style w:type="paragraph" w:customStyle="1" w:styleId="Quote-Para-Right">
    <w:name w:val="Quote-Para-Right"/>
    <w:basedOn w:val="Base-Quote-Para"/>
    <w:uiPriority w:val="99"/>
    <w:pPr>
      <w:jc w:val="right"/>
    </w:pPr>
  </w:style>
  <w:style w:type="paragraph" w:customStyle="1" w:styleId="Quote-Para">
    <w:name w:val="Quote-Para"/>
    <w:basedOn w:val="Base-Quote-Para"/>
    <w:uiPriority w:val="99"/>
  </w:style>
  <w:style w:type="paragraph" w:customStyle="1" w:styleId="Quote-Para-In-1">
    <w:name w:val="Quote-Para-In-1"/>
    <w:basedOn w:val="Base-Quote-Para"/>
    <w:uiPriority w:val="99"/>
    <w:pPr>
      <w:ind w:left="1134"/>
    </w:pPr>
  </w:style>
  <w:style w:type="paragraph" w:customStyle="1" w:styleId="Quote-Para-In-2">
    <w:name w:val="Quote-Para-In-2"/>
    <w:basedOn w:val="Base-Quote-Para"/>
    <w:uiPriority w:val="99"/>
    <w:pPr>
      <w:ind w:left="1701"/>
    </w:pPr>
  </w:style>
  <w:style w:type="paragraph" w:customStyle="1" w:styleId="Quote-Para-In-3">
    <w:name w:val="Quote-Para-In-3"/>
    <w:basedOn w:val="Base-Quote-Para"/>
    <w:uiPriority w:val="99"/>
    <w:pPr>
      <w:ind w:left="2268"/>
    </w:pPr>
  </w:style>
  <w:style w:type="paragraph" w:customStyle="1" w:styleId="Quote-Text-new-line-only">
    <w:name w:val="Quote-Text-new-line-only"/>
    <w:basedOn w:val="Base-Quote-Para"/>
    <w:uiPriority w:val="99"/>
    <w:pPr>
      <w:spacing w:before="0" w:after="0"/>
    </w:pPr>
  </w:style>
  <w:style w:type="paragraph" w:customStyle="1" w:styleId="Quote-Text">
    <w:name w:val="Quote-Text"/>
    <w:basedOn w:val="Base-Quote-Para"/>
    <w:uiPriority w:val="99"/>
  </w:style>
  <w:style w:type="paragraph" w:customStyle="1" w:styleId="Quote-Text-In-1">
    <w:name w:val="Quote-Text-In-1"/>
    <w:basedOn w:val="Quote-Para-In-1"/>
    <w:uiPriority w:val="99"/>
  </w:style>
  <w:style w:type="paragraph" w:customStyle="1" w:styleId="Quote-Text-In-2">
    <w:name w:val="Quote-Text-In-2"/>
    <w:basedOn w:val="Quote-Para-In-2"/>
    <w:uiPriority w:val="99"/>
  </w:style>
  <w:style w:type="paragraph" w:customStyle="1" w:styleId="Quote-Text-In-3">
    <w:name w:val="Quote-Text-In-3"/>
    <w:basedOn w:val="Quote-Para-In-3"/>
    <w:uiPriority w:val="99"/>
  </w:style>
  <w:style w:type="paragraph" w:customStyle="1" w:styleId="Quote-List-item-title-UnNum-1">
    <w:name w:val="Quote-List-item-title-UnNum-1"/>
    <w:basedOn w:val="Base-Quote-Item-Title"/>
    <w:uiPriority w:val="99"/>
  </w:style>
  <w:style w:type="paragraph" w:customStyle="1" w:styleId="Quote-List-item-title-MNum-In-1">
    <w:name w:val="Quote-List-item-title-MNum-In-1"/>
    <w:basedOn w:val="Base-Quote-Item-Title"/>
    <w:uiPriority w:val="99"/>
    <w:pPr>
      <w:tabs>
        <w:tab w:val="left" w:pos="1134"/>
      </w:tabs>
      <w:ind w:left="1701" w:hanging="567"/>
    </w:pPr>
  </w:style>
  <w:style w:type="paragraph" w:customStyle="1" w:styleId="Quote-Item-group-Title">
    <w:name w:val="Quote-Item-group-Title"/>
    <w:basedOn w:val="Base-Quote-Item-Title"/>
    <w:uiPriority w:val="99"/>
  </w:style>
  <w:style w:type="paragraph" w:customStyle="1" w:styleId="Quote-List-2-UNum">
    <w:name w:val="Quote-List-2-UNum"/>
    <w:basedOn w:val="Base-Quote-Para"/>
    <w:uiPriority w:val="99"/>
    <w:pPr>
      <w:ind w:left="1134"/>
    </w:pPr>
  </w:style>
  <w:style w:type="paragraph" w:customStyle="1" w:styleId="Quote-List-3-UNum">
    <w:name w:val="Quote-List-3-UNum"/>
    <w:basedOn w:val="Base-Quote-Para"/>
    <w:uiPriority w:val="99"/>
    <w:pPr>
      <w:ind w:left="1701"/>
    </w:pPr>
  </w:style>
  <w:style w:type="paragraph" w:customStyle="1" w:styleId="Quote-List-2-MNum">
    <w:name w:val="Quote-List-2-MNum"/>
    <w:basedOn w:val="Quote-List-2-UNum"/>
    <w:uiPriority w:val="99"/>
    <w:pPr>
      <w:tabs>
        <w:tab w:val="left" w:pos="1701"/>
      </w:tabs>
      <w:ind w:left="1701" w:hanging="567"/>
    </w:pPr>
  </w:style>
  <w:style w:type="paragraph" w:customStyle="1" w:styleId="Quote-List-3-MNum">
    <w:name w:val="Quote-List-3-MNum"/>
    <w:basedOn w:val="Quote-List-3-UNum"/>
    <w:uiPriority w:val="99"/>
    <w:pPr>
      <w:tabs>
        <w:tab w:val="left" w:pos="2268"/>
      </w:tabs>
      <w:ind w:left="2268" w:hanging="567"/>
    </w:pPr>
  </w:style>
  <w:style w:type="paragraph" w:customStyle="1" w:styleId="Quote-List-2-Bull">
    <w:name w:val="Quote-List-2-Bull"/>
    <w:basedOn w:val="Quote-List-2-MNum"/>
    <w:uiPriority w:val="99"/>
  </w:style>
  <w:style w:type="paragraph" w:customStyle="1" w:styleId="Quote-List-3-Bull">
    <w:name w:val="Quote-List-3-Bull"/>
    <w:basedOn w:val="Quote-List-3-MNum"/>
    <w:uiPriority w:val="99"/>
  </w:style>
  <w:style w:type="paragraph" w:customStyle="1" w:styleId="Table-Title-UNum-In-1">
    <w:name w:val="Table-Title-UNum-In-1"/>
    <w:basedOn w:val="Inclusion-Title-UNum-In-1"/>
    <w:uiPriority w:val="99"/>
  </w:style>
  <w:style w:type="paragraph" w:customStyle="1" w:styleId="Table-Title-UNum-In-2">
    <w:name w:val="Table-Title-UNum-In-2"/>
    <w:basedOn w:val="Inclusion-Title-UNum-In-2"/>
    <w:uiPriority w:val="99"/>
  </w:style>
  <w:style w:type="paragraph" w:customStyle="1" w:styleId="Table-Title-UNum-In-3">
    <w:name w:val="Table-Title-UNum-In-3"/>
    <w:basedOn w:val="Inclusion-Title-UNum-In-3"/>
    <w:uiPriority w:val="99"/>
  </w:style>
  <w:style w:type="paragraph" w:customStyle="1" w:styleId="Table-Title-MNum-In-1">
    <w:name w:val="Table-Title-MNum-In-1"/>
    <w:basedOn w:val="Inclusion-Title-MNum-In-1"/>
    <w:uiPriority w:val="99"/>
  </w:style>
  <w:style w:type="paragraph" w:customStyle="1" w:styleId="Table-Title-MNum-In-2">
    <w:name w:val="Table-Title-MNum-In-2"/>
    <w:basedOn w:val="Inclusion-Title-MNum-In-2"/>
    <w:uiPriority w:val="99"/>
  </w:style>
  <w:style w:type="paragraph" w:customStyle="1" w:styleId="Table-Title-MNum-In-3">
    <w:name w:val="Table-Title-MNum-In-3"/>
    <w:basedOn w:val="Inclusion-Title-MNum-In-3"/>
    <w:uiPriority w:val="99"/>
  </w:style>
  <w:style w:type="paragraph" w:customStyle="1" w:styleId="Table-Title-ANum-In-1">
    <w:name w:val="Table-Title-ANum-In-1"/>
    <w:basedOn w:val="Table-Title-MNum-In-1"/>
    <w:uiPriority w:val="99"/>
  </w:style>
  <w:style w:type="paragraph" w:customStyle="1" w:styleId="Table-Title-ANum-In-2">
    <w:name w:val="Table-Title-ANum-In-2"/>
    <w:basedOn w:val="Table-Title-MNum-In-2"/>
    <w:uiPriority w:val="99"/>
  </w:style>
  <w:style w:type="paragraph" w:customStyle="1" w:styleId="Table-Title-ANum-In-3">
    <w:name w:val="Table-Title-ANum-In-3"/>
    <w:basedOn w:val="Table-Title-MNum-In-3"/>
    <w:uiPriority w:val="99"/>
  </w:style>
  <w:style w:type="paragraph" w:customStyle="1" w:styleId="Table-List-2-MNum">
    <w:name w:val="Table-List-2-MNum"/>
    <w:basedOn w:val="Table-List-2-UNum"/>
    <w:uiPriority w:val="99"/>
    <w:pPr>
      <w:tabs>
        <w:tab w:val="left" w:pos="567"/>
      </w:tabs>
      <w:ind w:left="568" w:hanging="284"/>
    </w:pPr>
  </w:style>
  <w:style w:type="paragraph" w:customStyle="1" w:styleId="Head-1-table-item-MNum">
    <w:name w:val="Head-1-table-item-MNum"/>
    <w:basedOn w:val="Head-1-inclusion-item-MNum"/>
    <w:uiPriority w:val="99"/>
  </w:style>
  <w:style w:type="paragraph" w:customStyle="1" w:styleId="Head-2-table-item-MNum">
    <w:name w:val="Head-2-table-item-MNum"/>
    <w:basedOn w:val="Head-2-inclusion-item-MNum"/>
    <w:uiPriority w:val="99"/>
  </w:style>
  <w:style w:type="paragraph" w:customStyle="1" w:styleId="Head-3-table-item-MNum">
    <w:name w:val="Head-3-table-item-MNum"/>
    <w:basedOn w:val="Head-3-inclusion-item-MNum"/>
    <w:uiPriority w:val="99"/>
  </w:style>
  <w:style w:type="paragraph" w:customStyle="1" w:styleId="Am-NER-Sch-Title-ANum">
    <w:name w:val="Am-NER-Sch-Title-ANum"/>
    <w:basedOn w:val="Am-NER-Sch-Title-MNum"/>
    <w:uiPriority w:val="99"/>
  </w:style>
  <w:style w:type="paragraph" w:customStyle="1" w:styleId="Am-NER-Body-Cl-Title-ANum">
    <w:name w:val="Am-NER-Body-Cl-Title-ANum"/>
    <w:basedOn w:val="Am-NER-Body-Cl-Title-MNum"/>
    <w:uiPriority w:val="99"/>
  </w:style>
  <w:style w:type="paragraph" w:customStyle="1" w:styleId="Am-NER-Sch-Cl-Title-ANum">
    <w:name w:val="Am-NER-Sch-Cl-Title-ANum"/>
    <w:basedOn w:val="Am-NER-Sch-Cl-Title-MNum"/>
    <w:uiPriority w:val="99"/>
  </w:style>
  <w:style w:type="paragraph" w:customStyle="1" w:styleId="Am-NER-Para">
    <w:name w:val="Am-NER-Para"/>
    <w:basedOn w:val="Base-Am-NER-Para"/>
    <w:uiPriority w:val="99"/>
  </w:style>
  <w:style w:type="paragraph" w:customStyle="1" w:styleId="Am-NER-List-1-MNum">
    <w:name w:val="Am-NER-List-1-MNum"/>
    <w:basedOn w:val="Base-Am-NER-Para"/>
    <w:uiPriority w:val="99"/>
    <w:pPr>
      <w:tabs>
        <w:tab w:val="left" w:pos="567"/>
      </w:tabs>
      <w:ind w:left="567" w:hanging="567"/>
    </w:pPr>
  </w:style>
  <w:style w:type="paragraph" w:customStyle="1" w:styleId="Am-NER-List-2-MNum">
    <w:name w:val="Am-NER-List-2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List-3-MNum">
    <w:name w:val="Am-NER-List-3-MNum"/>
    <w:basedOn w:val="Base-Am-NER-Para"/>
    <w:uiPriority w:val="99"/>
    <w:pPr>
      <w:tabs>
        <w:tab w:val="left" w:pos="1701"/>
      </w:tabs>
      <w:ind w:left="1701" w:hanging="567"/>
    </w:pPr>
  </w:style>
  <w:style w:type="paragraph" w:customStyle="1" w:styleId="NER-Para-Centred">
    <w:name w:val="NER-Para-Centred"/>
    <w:basedOn w:val="Base-NER-Para"/>
    <w:uiPriority w:val="99"/>
    <w:pPr>
      <w:jc w:val="center"/>
    </w:pPr>
  </w:style>
  <w:style w:type="paragraph" w:customStyle="1" w:styleId="NER-Para-Right">
    <w:name w:val="NER-Para-Right"/>
    <w:basedOn w:val="Base-NER-Para"/>
    <w:uiPriority w:val="99"/>
    <w:pPr>
      <w:jc w:val="right"/>
    </w:pPr>
  </w:style>
  <w:style w:type="paragraph" w:customStyle="1" w:styleId="NER-Para-In-2">
    <w:name w:val="NER-Para-In-2"/>
    <w:basedOn w:val="Base-NER-Para"/>
    <w:uiPriority w:val="99"/>
    <w:pPr>
      <w:ind w:left="1134"/>
    </w:pPr>
  </w:style>
  <w:style w:type="paragraph" w:customStyle="1" w:styleId="NER-Para-In-3">
    <w:name w:val="NER-Para-In-3"/>
    <w:basedOn w:val="Base-NER-Para"/>
    <w:uiPriority w:val="99"/>
    <w:pPr>
      <w:ind w:left="1701"/>
    </w:pPr>
  </w:style>
  <w:style w:type="paragraph" w:customStyle="1" w:styleId="NER-Text">
    <w:name w:val="NER-Text"/>
    <w:basedOn w:val="Base-NER-Para"/>
    <w:uiPriority w:val="99"/>
  </w:style>
  <w:style w:type="paragraph" w:customStyle="1" w:styleId="NER-Text-In-1">
    <w:name w:val="NER-Text-In-1"/>
    <w:basedOn w:val="NER-Para-In-1"/>
    <w:uiPriority w:val="99"/>
  </w:style>
  <w:style w:type="paragraph" w:customStyle="1" w:styleId="NER-Text-In-2">
    <w:name w:val="NER-Text-In-2"/>
    <w:basedOn w:val="NER-Para-In-2"/>
    <w:uiPriority w:val="99"/>
  </w:style>
  <w:style w:type="paragraph" w:customStyle="1" w:styleId="NER-Text-In-3">
    <w:name w:val="NER-Text-In-3"/>
    <w:basedOn w:val="NER-Para-In-3"/>
    <w:uiPriority w:val="99"/>
  </w:style>
  <w:style w:type="paragraph" w:customStyle="1" w:styleId="NER-Text-new-line-only">
    <w:name w:val="NER-Text-new-line-only"/>
    <w:basedOn w:val="Base-NER-Para"/>
    <w:uiPriority w:val="99"/>
    <w:pPr>
      <w:spacing w:before="0" w:after="0"/>
    </w:pPr>
  </w:style>
  <w:style w:type="paragraph" w:customStyle="1" w:styleId="NER-List-1-item-title-UnNum">
    <w:name w:val="NER-List-1-item-title-UnNum"/>
    <w:basedOn w:val="Base-NER-Title"/>
    <w:uiPriority w:val="99"/>
    <w:pPr>
      <w:spacing w:before="120"/>
    </w:pPr>
    <w:rPr>
      <w:sz w:val="22"/>
      <w:szCs w:val="22"/>
    </w:rPr>
  </w:style>
  <w:style w:type="paragraph" w:customStyle="1" w:styleId="NER-List-1-item-title-MNum">
    <w:name w:val="NER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List-2-item-title-MNum">
    <w:name w:val="NER-List-2-item-title-MNum"/>
    <w:basedOn w:val="Base-NE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NER-List-3-item-title-MNum">
    <w:name w:val="NER-List-3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List-1-UNum">
    <w:name w:val="NER-List-1-UNum"/>
    <w:basedOn w:val="Base-NER-Para"/>
    <w:uiPriority w:val="99"/>
  </w:style>
  <w:style w:type="paragraph" w:customStyle="1" w:styleId="NER-List-2-UNum">
    <w:name w:val="NER-List-2-UNum"/>
    <w:basedOn w:val="Base-NER-Para"/>
    <w:uiPriority w:val="99"/>
    <w:pPr>
      <w:ind w:left="567"/>
    </w:pPr>
  </w:style>
  <w:style w:type="paragraph" w:customStyle="1" w:styleId="NER-List-3-UNum">
    <w:name w:val="NER-List-3-UNum"/>
    <w:basedOn w:val="Base-NER-Para"/>
    <w:uiPriority w:val="99"/>
    <w:pPr>
      <w:ind w:left="1134"/>
    </w:pPr>
  </w:style>
  <w:style w:type="paragraph" w:customStyle="1" w:styleId="NER-List-1-MNum">
    <w:name w:val="NER-List-1-MNum"/>
    <w:basedOn w:val="NER-List-1-UNum"/>
    <w:uiPriority w:val="99"/>
    <w:pPr>
      <w:tabs>
        <w:tab w:val="left" w:pos="567"/>
      </w:tabs>
      <w:ind w:left="567" w:hanging="567"/>
    </w:pPr>
  </w:style>
  <w:style w:type="paragraph" w:customStyle="1" w:styleId="NER-List-2-MNum">
    <w:name w:val="NER-List-2-MNum"/>
    <w:basedOn w:val="NER-List-2-UNum"/>
    <w:uiPriority w:val="99"/>
    <w:pPr>
      <w:tabs>
        <w:tab w:val="left" w:pos="1134"/>
      </w:tabs>
      <w:ind w:left="1134" w:hanging="567"/>
    </w:pPr>
  </w:style>
  <w:style w:type="paragraph" w:customStyle="1" w:styleId="NER-List-3-MNum">
    <w:name w:val="NER-List-3-MNum"/>
    <w:basedOn w:val="NER-List-3-UNum"/>
    <w:uiPriority w:val="99"/>
    <w:pPr>
      <w:tabs>
        <w:tab w:val="left" w:pos="1701"/>
      </w:tabs>
      <w:ind w:left="1701" w:hanging="567"/>
    </w:pPr>
  </w:style>
  <w:style w:type="paragraph" w:customStyle="1" w:styleId="NER-List-1-Bull">
    <w:name w:val="NER-List-1-Bull"/>
    <w:basedOn w:val="NER-List-1-MNum"/>
    <w:uiPriority w:val="99"/>
  </w:style>
  <w:style w:type="paragraph" w:customStyle="1" w:styleId="NER-List-2-Bull">
    <w:name w:val="NER-List-2-Bull"/>
    <w:basedOn w:val="NER-List-2-MNum"/>
    <w:uiPriority w:val="99"/>
  </w:style>
  <w:style w:type="paragraph" w:customStyle="1" w:styleId="NER-List-3-Bull">
    <w:name w:val="NER-List-3-Bull"/>
    <w:basedOn w:val="NER-List-3-MNum"/>
    <w:uiPriority w:val="99"/>
  </w:style>
  <w:style w:type="paragraph" w:customStyle="1" w:styleId="NER-List-1-ANum">
    <w:name w:val="NER-List-1-ANum"/>
    <w:basedOn w:val="NER-List-1-MNum"/>
    <w:uiPriority w:val="99"/>
  </w:style>
  <w:style w:type="paragraph" w:customStyle="1" w:styleId="NER-List-2-ANum">
    <w:name w:val="NER-List-2-ANum"/>
    <w:basedOn w:val="NER-List-2-MNum"/>
    <w:uiPriority w:val="99"/>
  </w:style>
  <w:style w:type="paragraph" w:customStyle="1" w:styleId="NER-List-3-ANum">
    <w:name w:val="NER-List-3-ANum"/>
    <w:basedOn w:val="NER-List-3-MNum"/>
    <w:uiPriority w:val="99"/>
  </w:style>
  <w:style w:type="paragraph" w:customStyle="1" w:styleId="NER-RC-Text">
    <w:name w:val="NER-RC-Text"/>
    <w:basedOn w:val="Base-NER-RC-Para"/>
    <w:uiPriority w:val="99"/>
  </w:style>
  <w:style w:type="paragraph" w:customStyle="1" w:styleId="NER-RC-Text-In-1">
    <w:name w:val="NER-RC-Text-In-1"/>
    <w:basedOn w:val="NER-RC-Para-In-1"/>
    <w:uiPriority w:val="99"/>
  </w:style>
  <w:style w:type="paragraph" w:customStyle="1" w:styleId="NER-RC-Text-In-2">
    <w:name w:val="NER-RC-Text-In-2"/>
    <w:basedOn w:val="NER-RC-Para-In-2"/>
    <w:uiPriority w:val="99"/>
  </w:style>
  <w:style w:type="paragraph" w:customStyle="1" w:styleId="NER-RC-Text-In-3">
    <w:name w:val="NER-RC-Text-In-3"/>
    <w:basedOn w:val="NER-RC-Para-In-3"/>
    <w:uiPriority w:val="99"/>
  </w:style>
  <w:style w:type="paragraph" w:customStyle="1" w:styleId="NER-RC-Text-In-4">
    <w:name w:val="NER-RC-Text-In-4"/>
    <w:basedOn w:val="NER-RC-Para-In-4"/>
    <w:uiPriority w:val="99"/>
  </w:style>
  <w:style w:type="paragraph" w:customStyle="1" w:styleId="NER-RC-List-1-item-title-UnNum">
    <w:name w:val="NER-RC-List-1-item-title-UnNum"/>
    <w:basedOn w:val="Base-NER-Title"/>
    <w:uiPriority w:val="99"/>
    <w:pPr>
      <w:spacing w:before="120"/>
      <w:ind w:left="1134"/>
    </w:pPr>
    <w:rPr>
      <w:sz w:val="22"/>
      <w:szCs w:val="22"/>
    </w:rPr>
  </w:style>
  <w:style w:type="paragraph" w:customStyle="1" w:styleId="NER-RC-List-1-item-title-MNum">
    <w:name w:val="NER-RC-List-1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RC-List-2-item-title-MNum">
    <w:name w:val="NER-RC-List-2-item-title-MNum"/>
    <w:basedOn w:val="Base-NE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NER-RC-List-3-item-title-MNum">
    <w:name w:val="NER-RC-List-3-item-title-MNum"/>
    <w:basedOn w:val="Base-NE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NER-RC-List-1-Bull">
    <w:name w:val="NER-RC-List-1-Bull"/>
    <w:basedOn w:val="NER-RC-List-1-MNum"/>
    <w:uiPriority w:val="99"/>
  </w:style>
  <w:style w:type="paragraph" w:customStyle="1" w:styleId="NER-RC-List-2-Bull">
    <w:name w:val="NER-RC-List-2-Bull"/>
    <w:basedOn w:val="NER-RC-List-2-MNum"/>
    <w:uiPriority w:val="99"/>
  </w:style>
  <w:style w:type="paragraph" w:customStyle="1" w:styleId="NER-RC-List-3-Bull">
    <w:name w:val="NER-RC-List-3-Bull"/>
    <w:basedOn w:val="NER-RC-List-3-MNum"/>
    <w:uiPriority w:val="99"/>
  </w:style>
  <w:style w:type="paragraph" w:customStyle="1" w:styleId="NER-RC-List-4-Bull">
    <w:name w:val="NER-RC-List-4-Bull"/>
    <w:basedOn w:val="NER-RC-List-4-MNum"/>
    <w:uiPriority w:val="99"/>
  </w:style>
  <w:style w:type="paragraph" w:customStyle="1" w:styleId="NER-RC-List-1-ANum">
    <w:name w:val="NER-RC-List-1-ANum"/>
    <w:basedOn w:val="NER-RC-List-1-MNum"/>
    <w:uiPriority w:val="99"/>
  </w:style>
  <w:style w:type="paragraph" w:customStyle="1" w:styleId="NER-RC-List-2-ANum">
    <w:name w:val="NER-RC-List-2-ANum"/>
    <w:basedOn w:val="NER-RC-List-2-MNum"/>
    <w:uiPriority w:val="99"/>
  </w:style>
  <w:style w:type="paragraph" w:customStyle="1" w:styleId="NER-RC-List-3-ANum">
    <w:name w:val="NER-RC-List-3-ANum"/>
    <w:basedOn w:val="NER-RC-List-3-MNum"/>
    <w:uiPriority w:val="99"/>
  </w:style>
  <w:style w:type="paragraph" w:customStyle="1" w:styleId="NER-RC-List-4-ANum">
    <w:name w:val="NER-RC-List-4-ANum"/>
    <w:basedOn w:val="NER-RC-List-4-MNum"/>
    <w:uiPriority w:val="99"/>
  </w:style>
  <w:style w:type="paragraph" w:customStyle="1" w:styleId="NER-Cl-MNum-No-Title">
    <w:name w:val="NER-Cl-MNum-No-Title"/>
    <w:basedOn w:val="Base-NER-RC-Para"/>
    <w:uiPriority w:val="99"/>
    <w:pPr>
      <w:tabs>
        <w:tab w:val="left" w:pos="1134"/>
      </w:tabs>
      <w:ind w:hanging="1134"/>
    </w:pPr>
  </w:style>
  <w:style w:type="paragraph" w:customStyle="1" w:styleId="NER-Terms-Chapter">
    <w:name w:val="NER-Terms-Chapter"/>
    <w:basedOn w:val="NER-Term-Chapter"/>
    <w:uiPriority w:val="99"/>
    <w:rPr>
      <w:b w:val="0"/>
      <w:bCs w:val="0"/>
    </w:rPr>
  </w:style>
  <w:style w:type="paragraph" w:customStyle="1" w:styleId="Base-NER-Explain-Title">
    <w:name w:val="Base-NER-Explain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NER-Example-Title-UNum-In-4">
    <w:name w:val="NER-Example-Title-UNum-In-4"/>
    <w:basedOn w:val="Base-NER-Example-Title"/>
    <w:uiPriority w:val="99"/>
    <w:pPr>
      <w:ind w:left="3402"/>
    </w:pPr>
  </w:style>
  <w:style w:type="paragraph" w:customStyle="1" w:styleId="Base-NER-Example-Title">
    <w:name w:val="Base-NER-Example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Base-NER-Explain-Para">
    <w:name w:val="Base-NER-Explain-Para"/>
    <w:basedOn w:val="Base-NER-RC-Para"/>
    <w:uiPriority w:val="99"/>
    <w:rPr>
      <w:sz w:val="20"/>
      <w:szCs w:val="20"/>
    </w:rPr>
  </w:style>
  <w:style w:type="paragraph" w:customStyle="1" w:styleId="NER-Explain-Para">
    <w:name w:val="NER-Explain-Para"/>
    <w:basedOn w:val="Base-NER-Explain-Para"/>
    <w:uiPriority w:val="99"/>
  </w:style>
  <w:style w:type="paragraph" w:customStyle="1" w:styleId="NER-Explain-Para-In-1">
    <w:name w:val="NER-Explain-Para-In-1"/>
    <w:basedOn w:val="Base-NER-Explain-Para"/>
    <w:uiPriority w:val="99"/>
    <w:pPr>
      <w:ind w:left="1701"/>
    </w:pPr>
  </w:style>
  <w:style w:type="paragraph" w:customStyle="1" w:styleId="NER-Explain-Para-In-2">
    <w:name w:val="NER-Explain-Para-In-2"/>
    <w:basedOn w:val="Base-NER-Explain-Para"/>
    <w:uiPriority w:val="99"/>
    <w:pPr>
      <w:ind w:left="2268"/>
    </w:pPr>
  </w:style>
  <w:style w:type="paragraph" w:customStyle="1" w:styleId="NER-Explain-Para-In-3">
    <w:name w:val="NER-Explain-Para-In-3"/>
    <w:basedOn w:val="Base-NER-Explain-Para"/>
    <w:uiPriority w:val="99"/>
    <w:pPr>
      <w:ind w:left="2835"/>
    </w:pPr>
  </w:style>
  <w:style w:type="paragraph" w:customStyle="1" w:styleId="NER-Explain-Text-new-line-only">
    <w:name w:val="NER-Explain-Text-new-line-only"/>
    <w:basedOn w:val="Base-NER-Explain-Para"/>
    <w:uiPriority w:val="99"/>
    <w:pPr>
      <w:spacing w:before="0" w:after="0"/>
    </w:pPr>
  </w:style>
  <w:style w:type="paragraph" w:customStyle="1" w:styleId="NER-Explain-Text">
    <w:name w:val="NER-Explain-Text"/>
    <w:basedOn w:val="Base-NER-Explain-Para"/>
    <w:uiPriority w:val="99"/>
  </w:style>
  <w:style w:type="paragraph" w:customStyle="1" w:styleId="NER-Explain-Text-In-1">
    <w:name w:val="NER-Explain-Text-In-1"/>
    <w:basedOn w:val="NER-Explain-Para-In-1"/>
    <w:uiPriority w:val="99"/>
  </w:style>
  <w:style w:type="paragraph" w:customStyle="1" w:styleId="NER-Explain-Text-In-2">
    <w:name w:val="NER-Explain-Text-In-2"/>
    <w:basedOn w:val="NER-Explain-Para-In-2"/>
    <w:uiPriority w:val="99"/>
  </w:style>
  <w:style w:type="paragraph" w:customStyle="1" w:styleId="NER-Explain-List-1-MNum">
    <w:name w:val="NER-Explain-List-1-MNum"/>
    <w:basedOn w:val="Base-NER-Explain-Para"/>
    <w:uiPriority w:val="99"/>
    <w:pPr>
      <w:tabs>
        <w:tab w:val="left" w:pos="1701"/>
      </w:tabs>
      <w:ind w:left="1701" w:hanging="567"/>
    </w:pPr>
  </w:style>
  <w:style w:type="paragraph" w:customStyle="1" w:styleId="NER-Explain-List-2-MNum">
    <w:name w:val="NER-Explain-List-2-MNum"/>
    <w:basedOn w:val="Base-NER-Explain-Para"/>
    <w:uiPriority w:val="99"/>
    <w:pPr>
      <w:tabs>
        <w:tab w:val="left" w:pos="2268"/>
      </w:tabs>
      <w:ind w:left="2268" w:hanging="567"/>
    </w:pPr>
  </w:style>
  <w:style w:type="paragraph" w:customStyle="1" w:styleId="NER-Explain-List-3-MNum">
    <w:name w:val="NER-Explain-List-3-MNum"/>
    <w:basedOn w:val="Base-NER-Explain-Para"/>
    <w:uiPriority w:val="99"/>
    <w:pPr>
      <w:tabs>
        <w:tab w:val="left" w:pos="2835"/>
      </w:tabs>
      <w:ind w:left="2835" w:hanging="567"/>
    </w:pPr>
  </w:style>
  <w:style w:type="paragraph" w:customStyle="1" w:styleId="NER-Example-List-1-bull">
    <w:name w:val="NER-Example-List-1-bull"/>
    <w:basedOn w:val="NER-Example-List-1-MNum"/>
    <w:uiPriority w:val="99"/>
  </w:style>
  <w:style w:type="paragraph" w:customStyle="1" w:styleId="NER-Example-List-1-MNum">
    <w:name w:val="NER-Example-List-1-MNum"/>
    <w:basedOn w:val="NER-Example-List-1-UNum"/>
    <w:uiPriority w:val="99"/>
    <w:pPr>
      <w:tabs>
        <w:tab w:val="left" w:pos="1701"/>
      </w:tabs>
      <w:ind w:left="1701" w:hanging="567"/>
    </w:pPr>
  </w:style>
  <w:style w:type="paragraph" w:customStyle="1" w:styleId="NER-Example-List-1-UNum">
    <w:name w:val="NER-Example-List-1-UNum"/>
    <w:basedOn w:val="Base-NER-Example-Para"/>
    <w:uiPriority w:val="99"/>
  </w:style>
  <w:style w:type="paragraph" w:customStyle="1" w:styleId="Base-NER-Example-Para">
    <w:name w:val="Base-NER-Example-Para"/>
    <w:basedOn w:val="Base-NER-RC-Para"/>
    <w:uiPriority w:val="99"/>
    <w:rPr>
      <w:sz w:val="20"/>
      <w:szCs w:val="20"/>
    </w:rPr>
  </w:style>
  <w:style w:type="paragraph" w:customStyle="1" w:styleId="NER-Example-List-2-bull">
    <w:name w:val="NER-Example-List-2-bull"/>
    <w:basedOn w:val="NER-Example-List-2-MNum"/>
    <w:uiPriority w:val="99"/>
  </w:style>
  <w:style w:type="paragraph" w:customStyle="1" w:styleId="NER-Example-List-2-MNum">
    <w:name w:val="NER-Example-List-2-MNum"/>
    <w:basedOn w:val="NER-Example-List-2-Unum"/>
    <w:uiPriority w:val="99"/>
    <w:pPr>
      <w:tabs>
        <w:tab w:val="left" w:pos="2268"/>
      </w:tabs>
      <w:ind w:left="2268" w:hanging="567"/>
    </w:pPr>
  </w:style>
  <w:style w:type="paragraph" w:customStyle="1" w:styleId="NER-Example-List-2-Unum">
    <w:name w:val="NER-Example-List-2-Unum"/>
    <w:basedOn w:val="Base-NER-Example-Para"/>
    <w:uiPriority w:val="99"/>
    <w:pPr>
      <w:ind w:left="1701"/>
    </w:pPr>
  </w:style>
  <w:style w:type="paragraph" w:customStyle="1" w:styleId="NER-Example-List-3-bull">
    <w:name w:val="NER-Example-List-3-bull"/>
    <w:basedOn w:val="NER-Example-List-3-MNum"/>
    <w:uiPriority w:val="99"/>
  </w:style>
  <w:style w:type="paragraph" w:customStyle="1" w:styleId="NER-Example-List-3-MNum">
    <w:name w:val="NER-Example-List-3-MNum"/>
    <w:basedOn w:val="NER-Example-List-3-Unum"/>
    <w:uiPriority w:val="99"/>
    <w:pPr>
      <w:tabs>
        <w:tab w:val="left" w:pos="2835"/>
      </w:tabs>
      <w:ind w:left="2835" w:hanging="567"/>
    </w:pPr>
  </w:style>
  <w:style w:type="paragraph" w:customStyle="1" w:styleId="NER-Example-List-3-Unum">
    <w:name w:val="NER-Example-List-3-Unum"/>
    <w:basedOn w:val="Base-NER-Example-Para"/>
    <w:uiPriority w:val="99"/>
    <w:pPr>
      <w:ind w:left="2268"/>
    </w:pPr>
  </w:style>
  <w:style w:type="paragraph" w:customStyle="1" w:styleId="NER-Explain-List-1-ANum">
    <w:name w:val="NER-Explain-List-1-ANum"/>
    <w:basedOn w:val="NER-Explain-List-1-MNum"/>
    <w:uiPriority w:val="99"/>
  </w:style>
  <w:style w:type="paragraph" w:customStyle="1" w:styleId="NER-Explain-List-2-ANum">
    <w:name w:val="NER-Explain-List-2-ANum"/>
    <w:basedOn w:val="NER-Explain-List-2-MNum"/>
    <w:uiPriority w:val="99"/>
  </w:style>
  <w:style w:type="paragraph" w:customStyle="1" w:styleId="NER-Explain-List-3-ANum">
    <w:name w:val="NER-Explain-List-3-ANum"/>
    <w:basedOn w:val="NER-Explain-List-3-MNum"/>
    <w:uiPriority w:val="99"/>
  </w:style>
  <w:style w:type="paragraph" w:customStyle="1" w:styleId="NER-Example-Para">
    <w:name w:val="NER-Example-Para"/>
    <w:basedOn w:val="Base-NER-Example-Para"/>
    <w:uiPriority w:val="99"/>
  </w:style>
  <w:style w:type="paragraph" w:customStyle="1" w:styleId="NER-Example-Para-In-1">
    <w:name w:val="NER-Example-Para-In-1"/>
    <w:basedOn w:val="Base-NER-Example-Para"/>
    <w:uiPriority w:val="99"/>
    <w:pPr>
      <w:ind w:left="1701"/>
    </w:pPr>
  </w:style>
  <w:style w:type="paragraph" w:customStyle="1" w:styleId="NER-Example-Para-In-2">
    <w:name w:val="NER-Example-Para-In-2"/>
    <w:basedOn w:val="Base-NER-Example-Para"/>
    <w:uiPriority w:val="99"/>
    <w:pPr>
      <w:ind w:left="2268"/>
    </w:pPr>
  </w:style>
  <w:style w:type="paragraph" w:customStyle="1" w:styleId="NER-Example-Para-In-3">
    <w:name w:val="NER-Example-Para-In-3"/>
    <w:basedOn w:val="Base-NER-Example-Para"/>
    <w:uiPriority w:val="99"/>
    <w:pPr>
      <w:ind w:left="2835"/>
    </w:pPr>
  </w:style>
  <w:style w:type="paragraph" w:customStyle="1" w:styleId="NER-Example-Text">
    <w:name w:val="NER-Example-Text"/>
    <w:basedOn w:val="Base-NER-Example-Para"/>
    <w:uiPriority w:val="99"/>
  </w:style>
  <w:style w:type="paragraph" w:customStyle="1" w:styleId="NER-Example-Text-In-1">
    <w:name w:val="NER-Example-Text-In-1"/>
    <w:basedOn w:val="NER-Example-Para-In-1"/>
    <w:uiPriority w:val="99"/>
  </w:style>
  <w:style w:type="paragraph" w:customStyle="1" w:styleId="NER-Example-Text-In-2">
    <w:name w:val="NER-Example-Text-In-2"/>
    <w:basedOn w:val="NER-Example-Para-In-2"/>
    <w:uiPriority w:val="99"/>
  </w:style>
  <w:style w:type="paragraph" w:customStyle="1" w:styleId="NER-Example-Text-new-line-only">
    <w:name w:val="NER-Example-Text-new-line-only"/>
    <w:basedOn w:val="Base-NER-Example-Para"/>
    <w:uiPriority w:val="99"/>
    <w:pPr>
      <w:spacing w:before="0" w:after="0"/>
    </w:pPr>
  </w:style>
  <w:style w:type="paragraph" w:customStyle="1" w:styleId="NER-Explain-Title-UNum">
    <w:name w:val="NER-Explain-Title-UNum"/>
    <w:basedOn w:val="Base-NER-Explain-Title"/>
    <w:uiPriority w:val="99"/>
  </w:style>
  <w:style w:type="paragraph" w:customStyle="1" w:styleId="NER-Explain-Title-UNum-In-1">
    <w:name w:val="NER-Explain-Title-UNum-In-1"/>
    <w:basedOn w:val="Base-NER-Explain-Title"/>
    <w:uiPriority w:val="99"/>
    <w:pPr>
      <w:ind w:left="1701"/>
    </w:pPr>
  </w:style>
  <w:style w:type="paragraph" w:customStyle="1" w:styleId="NER-Explain-Title-UNum-In-2">
    <w:name w:val="NER-Explain-Title-UNum-In-2"/>
    <w:basedOn w:val="Base-NER-Explain-Title"/>
    <w:uiPriority w:val="99"/>
    <w:pPr>
      <w:ind w:left="2268"/>
    </w:pPr>
  </w:style>
  <w:style w:type="paragraph" w:customStyle="1" w:styleId="NER-Explain-Title-UNum-In-3">
    <w:name w:val="NER-Explain-Title-UNum-In-3"/>
    <w:basedOn w:val="Base-NER-Explain-Title"/>
    <w:uiPriority w:val="99"/>
    <w:pPr>
      <w:ind w:left="2835"/>
    </w:pPr>
  </w:style>
  <w:style w:type="paragraph" w:customStyle="1" w:styleId="NER-Explain-Title-UNum-In-4">
    <w:name w:val="NER-Explain-Title-UNum-In-4"/>
    <w:basedOn w:val="Base-NER-Explain-Title"/>
    <w:uiPriority w:val="99"/>
    <w:pPr>
      <w:ind w:left="3402"/>
    </w:pPr>
  </w:style>
  <w:style w:type="paragraph" w:customStyle="1" w:styleId="NER-Explain-Para-In-4">
    <w:name w:val="NER-Explain-Para-In-4"/>
    <w:basedOn w:val="Base-NER-Explain-Para"/>
    <w:uiPriority w:val="99"/>
    <w:pPr>
      <w:ind w:left="3402"/>
    </w:pPr>
  </w:style>
  <w:style w:type="paragraph" w:customStyle="1" w:styleId="NER-Explain-List-4-MNum">
    <w:name w:val="NER-Explain-List-4-MNum"/>
    <w:basedOn w:val="Base-NER-Explain-Para"/>
    <w:uiPriority w:val="99"/>
    <w:pPr>
      <w:tabs>
        <w:tab w:val="left" w:pos="3402"/>
      </w:tabs>
      <w:ind w:left="3402" w:hanging="567"/>
    </w:pPr>
  </w:style>
  <w:style w:type="paragraph" w:customStyle="1" w:styleId="NER-Example-List-4-bull">
    <w:name w:val="NER-Example-List-4-bull"/>
    <w:basedOn w:val="NER-Example-List-4-MNum"/>
    <w:uiPriority w:val="99"/>
  </w:style>
  <w:style w:type="paragraph" w:customStyle="1" w:styleId="NER-Example-List-4-MNum">
    <w:name w:val="NER-Example-List-4-MNum"/>
    <w:basedOn w:val="NER-Example-List-4-Unum"/>
    <w:uiPriority w:val="99"/>
    <w:pPr>
      <w:tabs>
        <w:tab w:val="left" w:pos="3402"/>
      </w:tabs>
      <w:ind w:left="3402" w:hanging="567"/>
    </w:pPr>
  </w:style>
  <w:style w:type="paragraph" w:customStyle="1" w:styleId="NER-Example-List-4-Unum">
    <w:name w:val="NER-Example-List-4-Unum"/>
    <w:basedOn w:val="Base-NER-Example-Para"/>
    <w:uiPriority w:val="99"/>
    <w:pPr>
      <w:ind w:left="2835"/>
    </w:pPr>
  </w:style>
  <w:style w:type="paragraph" w:customStyle="1" w:styleId="NER-Eqn-Text">
    <w:name w:val="NER-Eqn-Text"/>
    <w:basedOn w:val="Base-NER-Eqn-Para"/>
    <w:uiPriority w:val="99"/>
  </w:style>
  <w:style w:type="paragraph" w:customStyle="1" w:styleId="Base-NER-Eqn-Para">
    <w:name w:val="Base-NER-Eqn-Para"/>
    <w:basedOn w:val="Base-NER-RC-Para"/>
    <w:uiPriority w:val="99"/>
  </w:style>
  <w:style w:type="paragraph" w:customStyle="1" w:styleId="NER-Eqn-Para">
    <w:name w:val="NER-Eqn-Para"/>
    <w:basedOn w:val="Base-NER-Eqn-Para"/>
    <w:uiPriority w:val="99"/>
  </w:style>
  <w:style w:type="paragraph" w:customStyle="1" w:styleId="NER-Eqn-Para-In-1">
    <w:name w:val="NER-Eqn-Para-In-1"/>
    <w:basedOn w:val="Base-NER-Eqn-Para"/>
    <w:uiPriority w:val="99"/>
    <w:pPr>
      <w:ind w:left="1701"/>
    </w:pPr>
  </w:style>
  <w:style w:type="paragraph" w:customStyle="1" w:styleId="NER-Eqn-Para-In-2">
    <w:name w:val="NER-Eqn-Para-In-2"/>
    <w:basedOn w:val="Base-NER-Eqn-Para"/>
    <w:uiPriority w:val="99"/>
    <w:pPr>
      <w:ind w:left="2268"/>
    </w:pPr>
  </w:style>
  <w:style w:type="paragraph" w:customStyle="1" w:styleId="NER-Eqn-Para-In-3">
    <w:name w:val="NER-Eqn-Para-In-3"/>
    <w:basedOn w:val="Base-NER-Eqn-Para"/>
    <w:uiPriority w:val="99"/>
    <w:pPr>
      <w:ind w:left="2835"/>
    </w:pPr>
  </w:style>
  <w:style w:type="paragraph" w:customStyle="1" w:styleId="NER-Eqn-Para-In-4">
    <w:name w:val="NER-Eqn-Para-In-4"/>
    <w:basedOn w:val="Base-NER-Eqn-Para"/>
    <w:uiPriority w:val="99"/>
    <w:pPr>
      <w:ind w:left="3402"/>
    </w:pPr>
  </w:style>
  <w:style w:type="paragraph" w:customStyle="1" w:styleId="NER-Eqn-Text-new-line-only">
    <w:name w:val="NER-Eqn-Text-new-line-only"/>
    <w:basedOn w:val="Base-NER-Eqn-Para"/>
    <w:uiPriority w:val="99"/>
    <w:pPr>
      <w:spacing w:before="0" w:after="0"/>
    </w:pPr>
  </w:style>
  <w:style w:type="paragraph" w:customStyle="1" w:styleId="NER-Eqn-Text-In-1">
    <w:name w:val="NER-Eqn-Text-In-1"/>
    <w:basedOn w:val="NER-Eqn-Para-In-1"/>
    <w:uiPriority w:val="99"/>
    <w:pPr>
      <w:jc w:val="left"/>
    </w:pPr>
  </w:style>
  <w:style w:type="paragraph" w:customStyle="1" w:styleId="NER-Eqn-Text-In-2">
    <w:name w:val="NER-Eqn-Text-In-2"/>
    <w:basedOn w:val="NER-Eqn-Para-In-2"/>
    <w:uiPriority w:val="99"/>
  </w:style>
  <w:style w:type="paragraph" w:customStyle="1" w:styleId="NER-Eqn-Text-In-3">
    <w:name w:val="NER-Eqn-Text-In-3"/>
    <w:basedOn w:val="NER-Eqn-Para-In-3"/>
    <w:uiPriority w:val="99"/>
  </w:style>
  <w:style w:type="paragraph" w:customStyle="1" w:styleId="NER-Eqn-Text-In-4">
    <w:name w:val="NER-Eqn-Text-In-4"/>
    <w:basedOn w:val="NER-Eqn-Para-In-4"/>
    <w:uiPriority w:val="99"/>
  </w:style>
  <w:style w:type="paragraph" w:customStyle="1" w:styleId="NER-Eq-Definition">
    <w:name w:val="NER-Eq-Definition"/>
    <w:basedOn w:val="Base-NER-Eqn-Para"/>
    <w:uiPriority w:val="99"/>
  </w:style>
  <w:style w:type="paragraph" w:customStyle="1" w:styleId="NER-Eq-Definition-In-1">
    <w:name w:val="NER-Eq-Definition-In-1"/>
    <w:basedOn w:val="NER-Eqn-Para-In-1"/>
    <w:uiPriority w:val="99"/>
  </w:style>
  <w:style w:type="paragraph" w:customStyle="1" w:styleId="NER-Eq-Definition-In-2">
    <w:name w:val="NER-Eq-Definition-In-2"/>
    <w:basedOn w:val="NER-Eqn-Para-In-2"/>
    <w:uiPriority w:val="99"/>
  </w:style>
  <w:style w:type="paragraph" w:customStyle="1" w:styleId="NER-Eq-Definition-In-3">
    <w:name w:val="NER-Eq-Definition-In-3"/>
    <w:basedOn w:val="NER-Eqn-Para-In-3"/>
    <w:uiPriority w:val="99"/>
  </w:style>
  <w:style w:type="paragraph" w:customStyle="1" w:styleId="NER-Eq-Definition-In-4">
    <w:name w:val="NER-Eq-Definition-In-4"/>
    <w:basedOn w:val="NER-Eqn-Para-In-4"/>
    <w:uiPriority w:val="99"/>
  </w:style>
  <w:style w:type="paragraph" w:customStyle="1" w:styleId="Quote-Para-Centred">
    <w:name w:val="Quote-Para-Centred"/>
    <w:basedOn w:val="Base-Quote-Para"/>
    <w:uiPriority w:val="99"/>
    <w:pPr>
      <w:jc w:val="center"/>
    </w:pPr>
  </w:style>
  <w:style w:type="paragraph" w:customStyle="1" w:styleId="NER-Eqn-List-1-Unum">
    <w:name w:val="NER-Eqn-List-1-Unum"/>
    <w:basedOn w:val="Base-NER-Eqn-Para"/>
    <w:uiPriority w:val="99"/>
  </w:style>
  <w:style w:type="paragraph" w:customStyle="1" w:styleId="NER-Eqn-List-2-Unum">
    <w:name w:val="NER-Eqn-List-2-Unum"/>
    <w:basedOn w:val="Base-NER-Eqn-Para"/>
    <w:uiPriority w:val="99"/>
    <w:pPr>
      <w:ind w:left="1701"/>
    </w:pPr>
  </w:style>
  <w:style w:type="paragraph" w:customStyle="1" w:styleId="NER-Eqn-List-3-Unum">
    <w:name w:val="NER-Eqn-List-3-Unum"/>
    <w:basedOn w:val="Base-NER-Eqn-Para"/>
    <w:uiPriority w:val="99"/>
    <w:pPr>
      <w:ind w:left="2268"/>
    </w:pPr>
  </w:style>
  <w:style w:type="paragraph" w:customStyle="1" w:styleId="NER-Eqn-List-4-Unum">
    <w:name w:val="NER-Eqn-List-4-Unum"/>
    <w:basedOn w:val="Base-NER-Eqn-Para"/>
    <w:uiPriority w:val="99"/>
    <w:pPr>
      <w:ind w:left="2835"/>
    </w:pPr>
  </w:style>
  <w:style w:type="paragraph" w:customStyle="1" w:styleId="NER-Eqn-List-1-MNum">
    <w:name w:val="NER-Eqn-List-1-MNum"/>
    <w:basedOn w:val="NER-Eqn-List-1-Unum"/>
    <w:uiPriority w:val="99"/>
    <w:pPr>
      <w:tabs>
        <w:tab w:val="left" w:pos="1701"/>
      </w:tabs>
      <w:ind w:left="1701" w:hanging="567"/>
    </w:pPr>
  </w:style>
  <w:style w:type="paragraph" w:customStyle="1" w:styleId="NER-Eqn-List-2-MNum">
    <w:name w:val="NER-Eqn-List-2-MNum"/>
    <w:basedOn w:val="NER-Eqn-List-2-Unum"/>
    <w:uiPriority w:val="99"/>
    <w:pPr>
      <w:tabs>
        <w:tab w:val="left" w:pos="2268"/>
      </w:tabs>
      <w:ind w:left="2268" w:hanging="567"/>
    </w:pPr>
  </w:style>
  <w:style w:type="paragraph" w:customStyle="1" w:styleId="NER-Eqn-List-3-MNum">
    <w:name w:val="NER-Eqn-List-3-MNum"/>
    <w:basedOn w:val="NER-Eqn-List-3-Unum"/>
    <w:uiPriority w:val="99"/>
    <w:pPr>
      <w:tabs>
        <w:tab w:val="left" w:pos="2835"/>
      </w:tabs>
      <w:ind w:left="2835" w:hanging="567"/>
    </w:pPr>
  </w:style>
  <w:style w:type="paragraph" w:customStyle="1" w:styleId="NER-Eqn-List-4-MNum">
    <w:name w:val="NER-Eqn-List-4-MNum"/>
    <w:basedOn w:val="NER-Eqn-List-4-Unum"/>
    <w:uiPriority w:val="99"/>
    <w:pPr>
      <w:tabs>
        <w:tab w:val="left" w:pos="3402"/>
      </w:tabs>
      <w:ind w:left="3402" w:hanging="567"/>
    </w:pPr>
  </w:style>
  <w:style w:type="paragraph" w:customStyle="1" w:styleId="NER-Example-Title-UNum">
    <w:name w:val="NER-Example-Title-UNum"/>
    <w:basedOn w:val="Base-NER-Example-Title"/>
    <w:uiPriority w:val="99"/>
  </w:style>
  <w:style w:type="paragraph" w:customStyle="1" w:styleId="NER-Example-Title-UNum-In-1">
    <w:name w:val="NER-Example-Title-UNum-In-1"/>
    <w:basedOn w:val="Base-NER-Example-Title"/>
    <w:uiPriority w:val="99"/>
    <w:pPr>
      <w:ind w:left="1701"/>
    </w:pPr>
  </w:style>
  <w:style w:type="paragraph" w:customStyle="1" w:styleId="NER-Example-Title-UNum-In-2">
    <w:name w:val="NER-Example-Title-UNum-In-2"/>
    <w:basedOn w:val="Base-NER-Example-Title"/>
    <w:uiPriority w:val="99"/>
    <w:pPr>
      <w:ind w:left="2268"/>
    </w:pPr>
  </w:style>
  <w:style w:type="paragraph" w:customStyle="1" w:styleId="NER-Example-Title-UNum-In-3">
    <w:name w:val="NER-Example-Title-UNum-In-3"/>
    <w:basedOn w:val="Base-NER-Example-Title"/>
    <w:uiPriority w:val="99"/>
    <w:pPr>
      <w:ind w:left="2835"/>
    </w:pPr>
  </w:style>
  <w:style w:type="paragraph" w:customStyle="1" w:styleId="NER-Example-Title-MNum">
    <w:name w:val="NER-Example-Title-MNum"/>
    <w:basedOn w:val="NER-Example-Title-UNum"/>
    <w:uiPriority w:val="99"/>
    <w:pPr>
      <w:tabs>
        <w:tab w:val="left" w:pos="2268"/>
      </w:tabs>
      <w:ind w:left="2268" w:hanging="1134"/>
    </w:pPr>
  </w:style>
  <w:style w:type="paragraph" w:customStyle="1" w:styleId="NER-Example-Title-MNum-In-1">
    <w:name w:val="NER-Example-Title-MNum-In-1"/>
    <w:basedOn w:val="NER-Example-Title-UNum-In-1"/>
    <w:uiPriority w:val="99"/>
    <w:pPr>
      <w:tabs>
        <w:tab w:val="left" w:pos="2835"/>
      </w:tabs>
      <w:ind w:left="2835" w:hanging="1134"/>
    </w:pPr>
  </w:style>
  <w:style w:type="paragraph" w:customStyle="1" w:styleId="NER-Example-Title-MNum-In-2">
    <w:name w:val="NER-Example-Title-MNum-In-2"/>
    <w:basedOn w:val="NER-Example-Title-UNum-In-2"/>
    <w:uiPriority w:val="99"/>
    <w:pPr>
      <w:tabs>
        <w:tab w:val="left" w:pos="3402"/>
      </w:tabs>
      <w:ind w:left="3402" w:hanging="1134"/>
    </w:pPr>
  </w:style>
  <w:style w:type="paragraph" w:customStyle="1" w:styleId="NER-Example-Title-MNum-In-3">
    <w:name w:val="NER-Example-Title-MNum-In-3"/>
    <w:basedOn w:val="NER-Example-Title-UNum-In-3"/>
    <w:uiPriority w:val="99"/>
    <w:pPr>
      <w:tabs>
        <w:tab w:val="left" w:pos="3969"/>
      </w:tabs>
      <w:ind w:left="3969" w:hanging="1134"/>
    </w:pPr>
  </w:style>
  <w:style w:type="paragraph" w:customStyle="1" w:styleId="NER-Example-Title-MNum-In-4">
    <w:name w:val="NER-Example-Title-MNum-In-4"/>
    <w:basedOn w:val="NER-Example-Title-UNum-In-4"/>
    <w:uiPriority w:val="99"/>
    <w:pPr>
      <w:tabs>
        <w:tab w:val="left" w:pos="4537"/>
      </w:tabs>
      <w:ind w:left="4537" w:hanging="1134"/>
    </w:pPr>
  </w:style>
  <w:style w:type="paragraph" w:customStyle="1" w:styleId="NER-Example-Para-In-4">
    <w:name w:val="NER-Example-Para-In-4"/>
    <w:basedOn w:val="Base-NER-Example-Para"/>
    <w:uiPriority w:val="99"/>
    <w:pPr>
      <w:ind w:left="3402"/>
    </w:pPr>
  </w:style>
  <w:style w:type="paragraph" w:customStyle="1" w:styleId="NER-Explain-Text-In-3">
    <w:name w:val="NER-Explain-Text-In-3"/>
    <w:basedOn w:val="NER-Explain-Para-In-3"/>
    <w:uiPriority w:val="99"/>
  </w:style>
  <w:style w:type="paragraph" w:customStyle="1" w:styleId="NER-Explain-Text-In-4">
    <w:name w:val="NER-Explain-Text-In-4"/>
    <w:basedOn w:val="NER-Explain-Para-In-4"/>
    <w:uiPriority w:val="99"/>
  </w:style>
  <w:style w:type="paragraph" w:customStyle="1" w:styleId="NER-Example-Text-In-3">
    <w:name w:val="NER-Example-Text-In-3"/>
    <w:basedOn w:val="NER-Example-Para-In-3"/>
    <w:uiPriority w:val="99"/>
  </w:style>
  <w:style w:type="paragraph" w:customStyle="1" w:styleId="NER-Example-Text-In-4">
    <w:name w:val="NER-Example-Text-In-4"/>
    <w:basedOn w:val="NER-Example-Para-In-4"/>
    <w:uiPriority w:val="99"/>
  </w:style>
  <w:style w:type="paragraph" w:customStyle="1" w:styleId="NER-Explain-List-1-bull">
    <w:name w:val="NER-Explain-List-1-bull"/>
    <w:basedOn w:val="NER-Explain-List-1-MNum"/>
    <w:uiPriority w:val="99"/>
  </w:style>
  <w:style w:type="paragraph" w:customStyle="1" w:styleId="NER-Explain-List-2-bull">
    <w:name w:val="NER-Explain-List-2-bull"/>
    <w:basedOn w:val="NER-Explain-List-2-MNum"/>
    <w:uiPriority w:val="99"/>
  </w:style>
  <w:style w:type="paragraph" w:customStyle="1" w:styleId="NER-Explain-List-3-bull">
    <w:name w:val="NER-Explain-List-3-bull"/>
    <w:basedOn w:val="NER-Explain-List-3-MNum"/>
    <w:uiPriority w:val="99"/>
  </w:style>
  <w:style w:type="paragraph" w:customStyle="1" w:styleId="NER-Explain-List-4-bull">
    <w:name w:val="NER-Explain-List-4-bull"/>
    <w:basedOn w:val="NER-Explain-List-4-MNum"/>
    <w:uiPriority w:val="99"/>
  </w:style>
  <w:style w:type="paragraph" w:customStyle="1" w:styleId="NER-Example-List-1-ANum">
    <w:name w:val="NER-Example-List-1-ANum"/>
    <w:basedOn w:val="NER-Example-List-1-MNum"/>
    <w:uiPriority w:val="99"/>
  </w:style>
  <w:style w:type="paragraph" w:customStyle="1" w:styleId="NER-Example-List-2-ANum">
    <w:name w:val="NER-Example-List-2-ANum"/>
    <w:basedOn w:val="NER-Example-List-2-MNum"/>
    <w:uiPriority w:val="99"/>
  </w:style>
  <w:style w:type="paragraph" w:customStyle="1" w:styleId="NER-Example-List-3-ANum">
    <w:name w:val="NER-Example-List-3-ANum"/>
    <w:basedOn w:val="NER-Example-List-3-MNum"/>
    <w:uiPriority w:val="99"/>
  </w:style>
  <w:style w:type="paragraph" w:customStyle="1" w:styleId="NER-Table-Title-UNum-PgWide-in-List-1">
    <w:name w:val="NER-Table-Title-UNum-PgWide-in-List-1"/>
    <w:basedOn w:val="NER-Table-Title-UNum-PgWide"/>
    <w:uiPriority w:val="99"/>
  </w:style>
  <w:style w:type="paragraph" w:customStyle="1" w:styleId="NER-Table-Title-UNum-PgWide">
    <w:name w:val="NER-Table-Title-UNum-PgWide"/>
    <w:basedOn w:val="Base-NER-Table-Title"/>
    <w:uiPriority w:val="99"/>
    <w:pPr>
      <w:ind w:left="0"/>
    </w:pPr>
  </w:style>
  <w:style w:type="paragraph" w:customStyle="1" w:styleId="NER-Fig-Title-ANum">
    <w:name w:val="NER-Fig-Title-ANum"/>
    <w:basedOn w:val="NER-Fig-Title-MNum"/>
    <w:uiPriority w:val="99"/>
  </w:style>
  <w:style w:type="paragraph" w:customStyle="1" w:styleId="NER-Fig-Title-ANum-In-1">
    <w:name w:val="NER-Fig-Title-ANum-In-1"/>
    <w:basedOn w:val="NER-Fig-Title-MNum-In-1"/>
    <w:uiPriority w:val="99"/>
  </w:style>
  <w:style w:type="paragraph" w:customStyle="1" w:styleId="NER-Fig-Title-ANum-In-2">
    <w:name w:val="NER-Fig-Title-ANum-In-2"/>
    <w:basedOn w:val="NER-Fig-Title-MNum-In-2"/>
    <w:uiPriority w:val="99"/>
  </w:style>
  <w:style w:type="paragraph" w:customStyle="1" w:styleId="NER-Fig-Title-ANum-In-3">
    <w:name w:val="NER-Fig-Title-ANum-In-3"/>
    <w:basedOn w:val="NER-Fig-Title-MNum-In-3"/>
    <w:uiPriority w:val="99"/>
  </w:style>
  <w:style w:type="paragraph" w:customStyle="1" w:styleId="NER-Fig-Title-ANum-In-4">
    <w:name w:val="NER-Fig-Title-ANum-In-4"/>
    <w:basedOn w:val="NER-Fig-Title-MNum-In-4"/>
    <w:uiPriority w:val="99"/>
  </w:style>
  <w:style w:type="paragraph" w:customStyle="1" w:styleId="NER-Fig-Para">
    <w:name w:val="NER-Fig-Para"/>
    <w:basedOn w:val="Base-NER-RC-Para"/>
    <w:uiPriority w:val="99"/>
  </w:style>
  <w:style w:type="paragraph" w:customStyle="1" w:styleId="NER-Fig-Para-Centred">
    <w:name w:val="NER-Fig-Para-Centred"/>
    <w:basedOn w:val="Base-NER-RC-Para"/>
    <w:uiPriority w:val="99"/>
    <w:pPr>
      <w:jc w:val="center"/>
    </w:pPr>
  </w:style>
  <w:style w:type="paragraph" w:customStyle="1" w:styleId="NER-Fig-Para-Right">
    <w:name w:val="NER-Fig-Para-Right"/>
    <w:basedOn w:val="Base-NER-RC-Para"/>
    <w:uiPriority w:val="99"/>
    <w:pPr>
      <w:jc w:val="right"/>
    </w:pPr>
  </w:style>
  <w:style w:type="paragraph" w:customStyle="1" w:styleId="NER-Fig-Para-In-1">
    <w:name w:val="NER-Fig-Para-In-1"/>
    <w:basedOn w:val="Base-NER-RC-Para"/>
    <w:uiPriority w:val="99"/>
    <w:pPr>
      <w:ind w:left="1701"/>
    </w:pPr>
  </w:style>
  <w:style w:type="paragraph" w:customStyle="1" w:styleId="NER-Fig-Para-In-3">
    <w:name w:val="NER-Fig-Para-In-3"/>
    <w:basedOn w:val="Base-NER-RC-Para"/>
    <w:uiPriority w:val="99"/>
    <w:pPr>
      <w:ind w:left="2835"/>
    </w:pPr>
  </w:style>
  <w:style w:type="paragraph" w:customStyle="1" w:styleId="NER-Table-Title-UNum-PgWide-in-List-2">
    <w:name w:val="NER-Table-Title-UNum-PgWide-in-List-2"/>
    <w:basedOn w:val="NER-Table-Title-UNum-PgWide"/>
    <w:uiPriority w:val="99"/>
  </w:style>
  <w:style w:type="paragraph" w:customStyle="1" w:styleId="NER-Fig-Para-In-2">
    <w:name w:val="NER-Fig-Para-In-2"/>
    <w:basedOn w:val="Base-NER-RC-Para"/>
    <w:uiPriority w:val="99"/>
    <w:pPr>
      <w:ind w:left="2268"/>
    </w:pPr>
  </w:style>
  <w:style w:type="paragraph" w:customStyle="1" w:styleId="NER-Fig-Para-In-4">
    <w:name w:val="NER-Fig-Para-In-4"/>
    <w:basedOn w:val="Base-NER-RC-Para"/>
    <w:uiPriority w:val="99"/>
    <w:pPr>
      <w:ind w:left="3402"/>
    </w:pPr>
  </w:style>
  <w:style w:type="paragraph" w:customStyle="1" w:styleId="NER-Table-Title-UNum-In-1">
    <w:name w:val="NER-Table-Title-UNum-In-1"/>
    <w:basedOn w:val="Base-NER-Table-Title"/>
    <w:uiPriority w:val="99"/>
    <w:pPr>
      <w:ind w:left="1701"/>
    </w:pPr>
  </w:style>
  <w:style w:type="paragraph" w:customStyle="1" w:styleId="NER-Table-Title-UNum-In-2">
    <w:name w:val="NER-Table-Title-UNum-In-2"/>
    <w:basedOn w:val="Base-NER-Table-Title"/>
    <w:uiPriority w:val="99"/>
    <w:pPr>
      <w:ind w:left="2268"/>
    </w:pPr>
  </w:style>
  <w:style w:type="paragraph" w:customStyle="1" w:styleId="NER-Table-Title-UNum-In-3">
    <w:name w:val="NER-Table-Title-UNum-In-3"/>
    <w:basedOn w:val="Base-NER-Table-Title"/>
    <w:uiPriority w:val="99"/>
    <w:pPr>
      <w:ind w:left="2835"/>
    </w:pPr>
  </w:style>
  <w:style w:type="paragraph" w:customStyle="1" w:styleId="NER-Table-Title-MNum-PgWide">
    <w:name w:val="NER-Table-Title-MNum-PgWide"/>
    <w:basedOn w:val="NER-Table-Title-UNum-PgWide"/>
    <w:uiPriority w:val="99"/>
    <w:pPr>
      <w:tabs>
        <w:tab w:val="left" w:pos="1701"/>
      </w:tabs>
      <w:ind w:left="1701" w:hanging="1701"/>
    </w:pPr>
  </w:style>
  <w:style w:type="paragraph" w:customStyle="1" w:styleId="NER-Table-Title-UNum-In-4">
    <w:name w:val="NER-Table-Title-UNum-In-4"/>
    <w:basedOn w:val="Base-NER-Table-Title"/>
    <w:uiPriority w:val="99"/>
    <w:pPr>
      <w:ind w:left="3402"/>
    </w:pPr>
  </w:style>
  <w:style w:type="paragraph" w:customStyle="1" w:styleId="NER-Table-Title-MNum">
    <w:name w:val="NER-Table-Title-MNum"/>
    <w:basedOn w:val="Base-NER-Table-Title"/>
    <w:uiPriority w:val="99"/>
    <w:pPr>
      <w:tabs>
        <w:tab w:val="left" w:pos="2835"/>
      </w:tabs>
      <w:ind w:left="2835" w:hanging="1701"/>
    </w:pPr>
  </w:style>
  <w:style w:type="paragraph" w:customStyle="1" w:styleId="NER-Table-Title-MNum-In-1">
    <w:name w:val="NER-Table-Title-MNum-In-1"/>
    <w:basedOn w:val="NER-Table-Title-UNum-In-1"/>
    <w:uiPriority w:val="99"/>
    <w:pPr>
      <w:tabs>
        <w:tab w:val="left" w:pos="3402"/>
      </w:tabs>
      <w:ind w:left="3402" w:hanging="1701"/>
    </w:pPr>
  </w:style>
  <w:style w:type="paragraph" w:customStyle="1" w:styleId="NER-Table-Title-MNum-In-2">
    <w:name w:val="NER-Table-Title-MNum-In-2"/>
    <w:basedOn w:val="NER-Table-Title-UNum-In-2"/>
    <w:uiPriority w:val="99"/>
    <w:pPr>
      <w:tabs>
        <w:tab w:val="left" w:pos="3969"/>
      </w:tabs>
      <w:ind w:left="3969" w:hanging="1701"/>
    </w:pPr>
  </w:style>
  <w:style w:type="paragraph" w:customStyle="1" w:styleId="NER-Table-Title-MNum-In-3">
    <w:name w:val="NER-Table-Title-MNum-In-3"/>
    <w:basedOn w:val="NER-Table-Title-UNum-In-3"/>
    <w:uiPriority w:val="99"/>
    <w:pPr>
      <w:tabs>
        <w:tab w:val="left" w:pos="4537"/>
      </w:tabs>
      <w:ind w:left="4537" w:hanging="1701"/>
    </w:pPr>
  </w:style>
  <w:style w:type="paragraph" w:customStyle="1" w:styleId="NER-Table-Title-MNum-In-4">
    <w:name w:val="NER-Table-Title-MNum-In-4"/>
    <w:basedOn w:val="NER-Table-Title-UNum-In-4"/>
    <w:uiPriority w:val="99"/>
    <w:pPr>
      <w:tabs>
        <w:tab w:val="left" w:pos="5104"/>
      </w:tabs>
      <w:ind w:left="5104" w:hanging="1701"/>
    </w:pPr>
  </w:style>
  <w:style w:type="paragraph" w:customStyle="1" w:styleId="Base-NER-Table-Para">
    <w:name w:val="Base-NER-Table-Para"/>
    <w:basedOn w:val="Base-NER-Para"/>
    <w:uiPriority w:val="99"/>
    <w:pPr>
      <w:jc w:val="left"/>
    </w:pPr>
  </w:style>
  <w:style w:type="paragraph" w:customStyle="1" w:styleId="NER-Table-Title-ANum">
    <w:name w:val="NER-Table-Title-ANum"/>
    <w:basedOn w:val="NER-Table-Title-MNum"/>
    <w:uiPriority w:val="99"/>
  </w:style>
  <w:style w:type="paragraph" w:customStyle="1" w:styleId="NER-Table-Title-ANum-In-1">
    <w:name w:val="NER-Table-Title-ANum-In-1"/>
    <w:basedOn w:val="NER-Table-Title-MNum-In-1"/>
    <w:uiPriority w:val="99"/>
  </w:style>
  <w:style w:type="paragraph" w:customStyle="1" w:styleId="NER-Table-Title-ANum-In-2">
    <w:name w:val="NER-Table-Title-ANum-In-2"/>
    <w:basedOn w:val="NER-Table-Title-MNum-In-2"/>
    <w:uiPriority w:val="99"/>
  </w:style>
  <w:style w:type="paragraph" w:customStyle="1" w:styleId="NER-Table-Title-ANum-In-3">
    <w:name w:val="NER-Table-Title-ANum-In-3"/>
    <w:basedOn w:val="NER-Table-Title-MNum-In-3"/>
    <w:uiPriority w:val="99"/>
  </w:style>
  <w:style w:type="paragraph" w:customStyle="1" w:styleId="NER-Table-Title-ANum-In-4">
    <w:name w:val="NER-Table-Title-ANum-In-4"/>
    <w:basedOn w:val="NER-Table-Title-MNum-In-4"/>
    <w:uiPriority w:val="99"/>
  </w:style>
  <w:style w:type="paragraph" w:customStyle="1" w:styleId="NER-Table-Inclusion-Para">
    <w:name w:val="NER-Table-Inclusion-Para"/>
    <w:basedOn w:val="Base-NER-RC-Para"/>
    <w:uiPriority w:val="99"/>
  </w:style>
  <w:style w:type="paragraph" w:customStyle="1" w:styleId="NER-Fig-Title-UNum-PgWide-in-List-1">
    <w:name w:val="NER-Fig-Title-UNum-PgWide-in-List-1"/>
    <w:basedOn w:val="NER-Fig-Title-UNum-PgWide"/>
    <w:uiPriority w:val="99"/>
  </w:style>
  <w:style w:type="paragraph" w:customStyle="1" w:styleId="NER-Fig-Title-UNum-PgWide-in-List-2">
    <w:name w:val="NER-Fig-Title-UNum-PgWide-in-List-2"/>
    <w:basedOn w:val="NER-Fig-Title-UNum-PgWide"/>
    <w:uiPriority w:val="99"/>
  </w:style>
  <w:style w:type="paragraph" w:customStyle="1" w:styleId="NER-Fig-Title-UNum-PgWide-in-List-3">
    <w:name w:val="NER-Fig-Title-UNum-PgWide-in-List-3"/>
    <w:basedOn w:val="NER-Fig-Title-UNum-PgWide"/>
    <w:uiPriority w:val="99"/>
  </w:style>
  <w:style w:type="paragraph" w:customStyle="1" w:styleId="NER-Fig-Title-UNum-PgWide-in-List-4">
    <w:name w:val="NER-Fig-Title-UNum-PgWide-in-List-4"/>
    <w:basedOn w:val="NER-Fig-Title-UNum-PgWide"/>
    <w:uiPriority w:val="99"/>
  </w:style>
  <w:style w:type="paragraph" w:customStyle="1" w:styleId="NER-Fig-Title-MNum-PgWide-in-List-1">
    <w:name w:val="NER-Fig-Title-MNum-PgWide-in-List-1"/>
    <w:basedOn w:val="NER-Fig-Title-MNum-PgWide"/>
    <w:uiPriority w:val="99"/>
  </w:style>
  <w:style w:type="paragraph" w:customStyle="1" w:styleId="NER-Fig-Title-MNum-PgWide-in-List-2">
    <w:name w:val="NER-Fig-Title-MNum-PgWide-in-List-2"/>
    <w:basedOn w:val="NER-Fig-Title-MNum-PgWide"/>
    <w:uiPriority w:val="99"/>
  </w:style>
  <w:style w:type="paragraph" w:customStyle="1" w:styleId="NER-Fig-Title-MNum-PgWide-in-List-3">
    <w:name w:val="NER-Fig-Title-MNum-PgWide-in-List-3"/>
    <w:basedOn w:val="NER-Fig-Title-MNum-PgWide"/>
    <w:uiPriority w:val="99"/>
  </w:style>
  <w:style w:type="paragraph" w:customStyle="1" w:styleId="NER-Fig-Title-MNum-PgWide-in-List-4">
    <w:name w:val="NER-Fig-Title-MNum-PgWide-in-List-4"/>
    <w:basedOn w:val="NER-Fig-Title-MNum-PgWide"/>
    <w:uiPriority w:val="99"/>
  </w:style>
  <w:style w:type="paragraph" w:customStyle="1" w:styleId="NER-Table-Title-UNum-PgWide-in-List-3">
    <w:name w:val="NER-Table-Title-UNum-PgWide-in-List-3"/>
    <w:basedOn w:val="NER-Table-Title-UNum-PgWide"/>
    <w:uiPriority w:val="99"/>
  </w:style>
  <w:style w:type="paragraph" w:customStyle="1" w:styleId="NER-Table-Title-UNum-PgWide-in-List-4">
    <w:name w:val="NER-Table-Title-UNum-PgWide-in-List-4"/>
    <w:basedOn w:val="NER-Table-Title-UNum-PgWide"/>
    <w:uiPriority w:val="99"/>
  </w:style>
  <w:style w:type="paragraph" w:customStyle="1" w:styleId="NER-Table-Title-MNum-PgWide-in-List-1">
    <w:name w:val="NER-Table-Title-MNum-PgWide-in-List-1"/>
    <w:basedOn w:val="NER-Table-Title-MNum-PgWide"/>
    <w:uiPriority w:val="99"/>
  </w:style>
  <w:style w:type="paragraph" w:customStyle="1" w:styleId="NER-Table-Title-MNum-PgWide-in-List-2">
    <w:name w:val="NER-Table-Title-MNum-PgWide-in-List-2"/>
    <w:basedOn w:val="NER-Table-Title-MNum-PgWide"/>
    <w:uiPriority w:val="99"/>
  </w:style>
  <w:style w:type="paragraph" w:customStyle="1" w:styleId="NER-Table-Title-MNum-PgWide-in-List-3">
    <w:name w:val="NER-Table-Title-MNum-PgWide-in-List-3"/>
    <w:basedOn w:val="NER-Table-Title-MNum-PgWide"/>
    <w:uiPriority w:val="99"/>
  </w:style>
  <w:style w:type="paragraph" w:customStyle="1" w:styleId="NER-Table-Title-MNum-PgWide-in-List-4">
    <w:name w:val="NER-Table-Title-MNum-PgWide-in-List-4"/>
    <w:basedOn w:val="NER-Table-Title-MNum-PgWide"/>
    <w:uiPriority w:val="99"/>
  </w:style>
  <w:style w:type="paragraph" w:customStyle="1" w:styleId="NER-Table-Para">
    <w:name w:val="NER-Table-Para"/>
    <w:basedOn w:val="Base-NER-Table-Para"/>
    <w:uiPriority w:val="99"/>
  </w:style>
  <w:style w:type="paragraph" w:customStyle="1" w:styleId="NER-Table-Para-Centred">
    <w:name w:val="NER-Table-Para-Centred"/>
    <w:basedOn w:val="Base-NER-Table-Para"/>
    <w:uiPriority w:val="99"/>
    <w:pPr>
      <w:jc w:val="center"/>
    </w:pPr>
  </w:style>
  <w:style w:type="paragraph" w:customStyle="1" w:styleId="NER-Table-Para-Right">
    <w:name w:val="NER-Table-Para-Right"/>
    <w:basedOn w:val="Base-NER-Table-Para"/>
    <w:uiPriority w:val="99"/>
    <w:pPr>
      <w:jc w:val="right"/>
    </w:pPr>
  </w:style>
  <w:style w:type="paragraph" w:customStyle="1" w:styleId="NER-Table-Para-In-1">
    <w:name w:val="NER-Table-Para-In-1"/>
    <w:basedOn w:val="Base-NER-Table-Para"/>
    <w:uiPriority w:val="99"/>
    <w:pPr>
      <w:ind w:left="567"/>
    </w:pPr>
  </w:style>
  <w:style w:type="paragraph" w:customStyle="1" w:styleId="NER-Table-Para-In-2">
    <w:name w:val="NER-Table-Para-In-2"/>
    <w:basedOn w:val="Base-NER-Table-Para"/>
    <w:uiPriority w:val="99"/>
    <w:pPr>
      <w:ind w:left="1134"/>
    </w:pPr>
  </w:style>
  <w:style w:type="paragraph" w:customStyle="1" w:styleId="NER-Table-Para-In-3">
    <w:name w:val="NER-Table-Para-In-3"/>
    <w:basedOn w:val="Base-NER-Table-Para"/>
    <w:uiPriority w:val="99"/>
    <w:pPr>
      <w:ind w:left="1701"/>
    </w:pPr>
  </w:style>
  <w:style w:type="paragraph" w:customStyle="1" w:styleId="NER-Table-Para-In-4">
    <w:name w:val="NER-Table-Para-In-4"/>
    <w:basedOn w:val="Base-NER-Table-Para"/>
    <w:uiPriority w:val="99"/>
    <w:pPr>
      <w:ind w:left="2268"/>
    </w:pPr>
  </w:style>
  <w:style w:type="paragraph" w:customStyle="1" w:styleId="NER-Table-Col-Head">
    <w:name w:val="NER-Table-Col-Head"/>
    <w:basedOn w:val="Base-NER-Title"/>
    <w:uiPriority w:val="99"/>
    <w:pPr>
      <w:spacing w:before="120"/>
    </w:pPr>
  </w:style>
  <w:style w:type="paragraph" w:customStyle="1" w:styleId="NER-Table-Col-Head-Centred">
    <w:name w:val="NER-Table-Col-Head-Centred"/>
    <w:basedOn w:val="Base-NER-Title"/>
    <w:uiPriority w:val="99"/>
    <w:pPr>
      <w:spacing w:before="120"/>
      <w:jc w:val="center"/>
    </w:pPr>
  </w:style>
  <w:style w:type="paragraph" w:customStyle="1" w:styleId="NER-Item-group-Title">
    <w:name w:val="NER-Item-group-Title"/>
    <w:basedOn w:val="Base-NER-Title"/>
    <w:uiPriority w:val="99"/>
    <w:pPr>
      <w:spacing w:before="220"/>
      <w:ind w:left="1138"/>
    </w:pPr>
    <w:rPr>
      <w:sz w:val="22"/>
      <w:szCs w:val="22"/>
    </w:rPr>
  </w:style>
  <w:style w:type="paragraph" w:customStyle="1" w:styleId="NER-Table-List-1-UNum">
    <w:name w:val="NER-Table-List-1-UNum"/>
    <w:basedOn w:val="Base-NER-Table-Para"/>
    <w:uiPriority w:val="99"/>
  </w:style>
  <w:style w:type="paragraph" w:customStyle="1" w:styleId="NER-Table-List-2-UNum">
    <w:name w:val="NER-Table-List-2-UNum"/>
    <w:basedOn w:val="Base-NER-Table-Para"/>
    <w:uiPriority w:val="99"/>
    <w:pPr>
      <w:ind w:left="567"/>
    </w:pPr>
  </w:style>
  <w:style w:type="paragraph" w:customStyle="1" w:styleId="NER-Table-List-3-UNum">
    <w:name w:val="NER-Table-List-3-UNum"/>
    <w:basedOn w:val="Base-NER-Table-Para"/>
    <w:uiPriority w:val="99"/>
    <w:pPr>
      <w:ind w:left="1134"/>
    </w:pPr>
  </w:style>
  <w:style w:type="paragraph" w:customStyle="1" w:styleId="NER-Table-List-1-item-title-UnNum">
    <w:name w:val="NER-Table-List-1-item-title-UnNum"/>
    <w:basedOn w:val="Base-NER-Title"/>
    <w:uiPriority w:val="99"/>
    <w:pPr>
      <w:ind w:left="340"/>
    </w:pPr>
    <w:rPr>
      <w:sz w:val="22"/>
      <w:szCs w:val="22"/>
    </w:rPr>
  </w:style>
  <w:style w:type="paragraph" w:customStyle="1" w:styleId="NER-Table-List-1-item-title-MNum">
    <w:name w:val="NER-Table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Table-Text">
    <w:name w:val="NER-Table-Text"/>
    <w:basedOn w:val="Base-NER-Table-Para"/>
    <w:uiPriority w:val="99"/>
  </w:style>
  <w:style w:type="paragraph" w:customStyle="1" w:styleId="NER-Table-Text-In-1">
    <w:name w:val="NER-Table-Text-In-1"/>
    <w:basedOn w:val="NER-Table-Para-In-1"/>
    <w:uiPriority w:val="99"/>
  </w:style>
  <w:style w:type="paragraph" w:customStyle="1" w:styleId="NER-Table-Text-In-2">
    <w:name w:val="NER-Table-Text-In-2"/>
    <w:basedOn w:val="NER-Table-Para-In-2"/>
    <w:uiPriority w:val="99"/>
  </w:style>
  <w:style w:type="paragraph" w:customStyle="1" w:styleId="NER-Table-Text-In-3">
    <w:name w:val="NER-Table-Text-In-3"/>
    <w:basedOn w:val="NER-Table-Para-In-3"/>
    <w:uiPriority w:val="99"/>
  </w:style>
  <w:style w:type="paragraph" w:customStyle="1" w:styleId="Tmp-Instr-Para-2">
    <w:name w:val="Tmp-Instr-Para-2"/>
    <w:basedOn w:val="Base-Tmp-Instr-Para"/>
    <w:uiPriority w:val="99"/>
    <w:pPr>
      <w:ind w:left="1134"/>
    </w:pPr>
  </w:style>
  <w:style w:type="paragraph" w:customStyle="1" w:styleId="Tmp-Instr-Para-3">
    <w:name w:val="Tmp-Instr-Para-3"/>
    <w:basedOn w:val="Base-Tmp-Instr-Para"/>
    <w:uiPriority w:val="99"/>
    <w:pPr>
      <w:ind w:left="1701"/>
    </w:pPr>
  </w:style>
  <w:style w:type="paragraph" w:customStyle="1" w:styleId="Tmp-Instr-List-2-UNum">
    <w:name w:val="Tmp-Instr-List-2-UNum"/>
    <w:basedOn w:val="Tmp-Instr-Para-1"/>
    <w:uiPriority w:val="99"/>
  </w:style>
  <w:style w:type="paragraph" w:customStyle="1" w:styleId="Tmp-Instr-List-2-MNum">
    <w:name w:val="Tmp-Instr-List-2-MNum"/>
    <w:basedOn w:val="Tmp-Instr-List-2-UNum"/>
    <w:uiPriority w:val="99"/>
    <w:pPr>
      <w:tabs>
        <w:tab w:val="left" w:pos="1134"/>
      </w:tabs>
      <w:ind w:left="1134" w:hanging="567"/>
    </w:pPr>
  </w:style>
  <w:style w:type="paragraph" w:customStyle="1" w:styleId="Tmp-Instr-List-2-bull">
    <w:name w:val="Tmp-Instr-List-2-bull"/>
    <w:basedOn w:val="Tmp-Instr-List-2-MNum"/>
    <w:uiPriority w:val="99"/>
  </w:style>
  <w:style w:type="paragraph" w:customStyle="1" w:styleId="Tmp-Instr-List-2-ANum">
    <w:name w:val="Tmp-Instr-List-2-ANum"/>
    <w:basedOn w:val="Tmp-Instr-List-2-MNum"/>
    <w:uiPriority w:val="99"/>
  </w:style>
  <w:style w:type="paragraph" w:styleId="TOC3">
    <w:name w:val="toc 3"/>
    <w:basedOn w:val="Normal"/>
    <w:next w:val="Normal"/>
    <w:uiPriority w:val="99"/>
    <w:pPr>
      <w:tabs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customStyle="1" w:styleId="Am-EMR-Body-Cl-Title-ANum">
    <w:name w:val="Am-EMR-Body-Cl-Title-ANum"/>
    <w:basedOn w:val="Am-EMR-Body-Cl-Title-MNum"/>
    <w:uiPriority w:val="99"/>
  </w:style>
  <w:style w:type="paragraph" w:customStyle="1" w:styleId="Am-EMR-Sch-Title-ANum">
    <w:name w:val="Am-EMR-Sch-Title-ANum"/>
    <w:basedOn w:val="Am-EMR-Sch-Title-MNum"/>
    <w:uiPriority w:val="99"/>
  </w:style>
  <w:style w:type="paragraph" w:customStyle="1" w:styleId="Am-EMR-Sch-Cl-Title-ANum">
    <w:name w:val="Am-EMR-Sch-Cl-Title-ANum"/>
    <w:basedOn w:val="Am-EMR-Sch-Cl-Title-MNum"/>
    <w:uiPriority w:val="99"/>
  </w:style>
  <w:style w:type="paragraph" w:customStyle="1" w:styleId="Am-EMR-Para-In-4">
    <w:name w:val="Am-EMR-Para-In-4"/>
    <w:basedOn w:val="Base-Am-EMR-Para"/>
    <w:uiPriority w:val="99"/>
    <w:pPr>
      <w:ind w:left="2268"/>
    </w:pPr>
  </w:style>
  <w:style w:type="paragraph" w:customStyle="1" w:styleId="Am-EMR-List-1-MNum">
    <w:name w:val="Am-EMR-List-1-MNum"/>
    <w:basedOn w:val="Base-Am-EMR-Para"/>
    <w:uiPriority w:val="99"/>
    <w:pPr>
      <w:tabs>
        <w:tab w:val="left" w:pos="567"/>
      </w:tabs>
      <w:ind w:left="567" w:hanging="567"/>
    </w:pPr>
  </w:style>
  <w:style w:type="paragraph" w:customStyle="1" w:styleId="Am-EMR-List-2-MNum">
    <w:name w:val="Am-EMR-List-2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List-3-MNum">
    <w:name w:val="Am-EMR-List-3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Sch-Source">
    <w:name w:val="Am-EMR-Sch-Source"/>
    <w:basedOn w:val="Base-Am-EMR-Para"/>
    <w:uiPriority w:val="99"/>
    <w:pPr>
      <w:spacing w:before="240"/>
      <w:jc w:val="right"/>
    </w:pPr>
  </w:style>
  <w:style w:type="paragraph" w:customStyle="1" w:styleId="EMR-Para-In-2">
    <w:name w:val="EMR-Para-In-2"/>
    <w:basedOn w:val="Base-EMR-Para"/>
    <w:uiPriority w:val="99"/>
    <w:pPr>
      <w:ind w:left="1134"/>
    </w:pPr>
  </w:style>
  <w:style w:type="paragraph" w:customStyle="1" w:styleId="EMR-Para-In-3">
    <w:name w:val="EMR-Para-In-3"/>
    <w:basedOn w:val="Base-EMR-Para"/>
    <w:uiPriority w:val="99"/>
    <w:pPr>
      <w:ind w:left="1701"/>
    </w:pPr>
  </w:style>
  <w:style w:type="paragraph" w:customStyle="1" w:styleId="EMR-Para-Centred">
    <w:name w:val="EMR-Para-Centred"/>
    <w:basedOn w:val="Base-EMR-Para"/>
    <w:uiPriority w:val="99"/>
    <w:pPr>
      <w:jc w:val="center"/>
    </w:pPr>
  </w:style>
  <w:style w:type="paragraph" w:customStyle="1" w:styleId="EMR-Para-Right">
    <w:name w:val="EMR-Para-Right"/>
    <w:basedOn w:val="Base-EMR-Para"/>
    <w:uiPriority w:val="99"/>
    <w:pPr>
      <w:jc w:val="right"/>
    </w:pPr>
  </w:style>
  <w:style w:type="paragraph" w:customStyle="1" w:styleId="EMR-Text-new-line-only">
    <w:name w:val="EMR-Text-new-line-only"/>
    <w:basedOn w:val="Base-EMR-Para"/>
    <w:uiPriority w:val="99"/>
    <w:pPr>
      <w:spacing w:before="0" w:after="0"/>
    </w:pPr>
  </w:style>
  <w:style w:type="paragraph" w:customStyle="1" w:styleId="EMR-Text">
    <w:name w:val="EMR-Text"/>
    <w:basedOn w:val="Base-EMR-Para"/>
    <w:uiPriority w:val="99"/>
  </w:style>
  <w:style w:type="paragraph" w:customStyle="1" w:styleId="EMR-Text-In-1">
    <w:name w:val="EMR-Text-In-1"/>
    <w:basedOn w:val="EMR-Para-In-1"/>
    <w:uiPriority w:val="99"/>
  </w:style>
  <w:style w:type="paragraph" w:customStyle="1" w:styleId="EMR-Text-In-2">
    <w:name w:val="EMR-Text-In-2"/>
    <w:basedOn w:val="EMR-Para-In-2"/>
    <w:uiPriority w:val="99"/>
  </w:style>
  <w:style w:type="paragraph" w:customStyle="1" w:styleId="EMR-Text-In-3">
    <w:name w:val="EMR-Text-In-3"/>
    <w:basedOn w:val="EMR-Para-In-3"/>
    <w:uiPriority w:val="99"/>
  </w:style>
  <w:style w:type="paragraph" w:customStyle="1" w:styleId="EMR-List-1-item-title-UnNum">
    <w:name w:val="EMR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List-1-item-title-MNum">
    <w:name w:val="EMR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EMR-List-2-item-title-MNum">
    <w:name w:val="EMR-List-2-item-title-MNum"/>
    <w:basedOn w:val="Base-EM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EMR-List-3-item-title-MNum">
    <w:name w:val="EMR-List-3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List-2-Bull">
    <w:name w:val="EMR-List-2-Bull"/>
    <w:basedOn w:val="EMR-List-2-MNum"/>
    <w:uiPriority w:val="99"/>
  </w:style>
  <w:style w:type="paragraph" w:customStyle="1" w:styleId="EMR-List-3-Bull">
    <w:name w:val="EMR-List-3-Bull"/>
    <w:basedOn w:val="EMR-List-3-MNum"/>
    <w:uiPriority w:val="99"/>
  </w:style>
  <w:style w:type="paragraph" w:customStyle="1" w:styleId="EMR-List-1-ANum">
    <w:name w:val="EMR-List-1-ANum"/>
    <w:basedOn w:val="EMR-List-1-MNum"/>
    <w:uiPriority w:val="99"/>
  </w:style>
  <w:style w:type="paragraph" w:customStyle="1" w:styleId="EMR-List-2-ANum">
    <w:name w:val="EMR-List-2-ANum"/>
    <w:basedOn w:val="EMR-List-2-MNum"/>
    <w:uiPriority w:val="99"/>
  </w:style>
  <w:style w:type="paragraph" w:customStyle="1" w:styleId="EMR-List-3-ANum">
    <w:name w:val="EMR-List-3-ANum"/>
    <w:basedOn w:val="EMR-List-3-MNum"/>
    <w:uiPriority w:val="99"/>
  </w:style>
  <w:style w:type="paragraph" w:customStyle="1" w:styleId="EMR-RSR-List-1-item-title-MNum">
    <w:name w:val="EMR-RSR-List-1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RSR-List-2-item-title-MNum">
    <w:name w:val="EMR-RSR-List-2-item-title-MNum"/>
    <w:basedOn w:val="Base-EM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EMR-RSR-List-3-item-title-MNum">
    <w:name w:val="EMR-RSR-List-3-item-title-MNum"/>
    <w:basedOn w:val="Base-EM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EMR-RSR-List-1-Bull">
    <w:name w:val="EMR-RSR-List-1-Bull"/>
    <w:basedOn w:val="EMR-RSR-List-1-MNum"/>
    <w:uiPriority w:val="99"/>
  </w:style>
  <w:style w:type="paragraph" w:customStyle="1" w:styleId="EMR-RSR-List-2-Bull">
    <w:name w:val="EMR-RSR-List-2-Bull"/>
    <w:basedOn w:val="EMR-RSR-List-2-MNum"/>
    <w:uiPriority w:val="99"/>
  </w:style>
  <w:style w:type="paragraph" w:customStyle="1" w:styleId="EMR-RSR-List-3-Bull">
    <w:name w:val="EMR-RSR-List-3-Bull"/>
    <w:basedOn w:val="EMR-RSR-List-3-MNum"/>
    <w:uiPriority w:val="99"/>
  </w:style>
  <w:style w:type="paragraph" w:customStyle="1" w:styleId="EMR-RSR-List-4-Bull">
    <w:name w:val="EMR-RSR-List-4-Bull"/>
    <w:basedOn w:val="EMR-RSR-List-4-MNum"/>
    <w:uiPriority w:val="99"/>
  </w:style>
  <w:style w:type="paragraph" w:customStyle="1" w:styleId="EMR-RSR-List-2-MNum-UNum-parent">
    <w:name w:val="EMR-RSR-List-2-MNum-UNum-parent"/>
    <w:basedOn w:val="EMR-RSR-List-1-MNum"/>
    <w:uiPriority w:val="99"/>
  </w:style>
  <w:style w:type="paragraph" w:customStyle="1" w:styleId="EMR-RSR-List-1-ANum">
    <w:name w:val="EMR-RSR-List-1-ANum"/>
    <w:basedOn w:val="EMR-RSR-List-1-MNum"/>
    <w:uiPriority w:val="99"/>
  </w:style>
  <w:style w:type="paragraph" w:customStyle="1" w:styleId="EMR-RSR-List-2-ANum">
    <w:name w:val="EMR-RSR-List-2-ANum"/>
    <w:basedOn w:val="EMR-RSR-List-2-MNum"/>
    <w:uiPriority w:val="99"/>
  </w:style>
  <w:style w:type="paragraph" w:customStyle="1" w:styleId="EMR-RSR-List-3-ANum">
    <w:name w:val="EMR-RSR-List-3-ANum"/>
    <w:basedOn w:val="EMR-RSR-List-3-MNum"/>
    <w:uiPriority w:val="99"/>
  </w:style>
  <w:style w:type="paragraph" w:customStyle="1" w:styleId="Base-EMR-Eqn-Para">
    <w:name w:val="Base-EMR-Eqn-Para"/>
    <w:basedOn w:val="Base-EMR-RSR-Para"/>
    <w:uiPriority w:val="99"/>
  </w:style>
  <w:style w:type="paragraph" w:customStyle="1" w:styleId="EMR-Eqn-Para">
    <w:name w:val="EMR-Eqn-Para"/>
    <w:basedOn w:val="Base-EMR-Eqn-Para"/>
    <w:uiPriority w:val="99"/>
  </w:style>
  <w:style w:type="paragraph" w:customStyle="1" w:styleId="EMR-Eqn-Para-In-1">
    <w:name w:val="EMR-Eqn-Para-In-1"/>
    <w:basedOn w:val="Base-EMR-Eqn-Para"/>
    <w:uiPriority w:val="99"/>
    <w:pPr>
      <w:ind w:left="1701"/>
    </w:pPr>
  </w:style>
  <w:style w:type="paragraph" w:customStyle="1" w:styleId="EMR-Eqn-Para-In-2">
    <w:name w:val="EMR-Eqn-Para-In-2"/>
    <w:basedOn w:val="Base-EMR-Eqn-Para"/>
    <w:uiPriority w:val="99"/>
    <w:pPr>
      <w:ind w:left="2268"/>
    </w:pPr>
  </w:style>
  <w:style w:type="paragraph" w:customStyle="1" w:styleId="EMR-Eqn-Para-In-3">
    <w:name w:val="EMR-Eqn-Para-In-3"/>
    <w:basedOn w:val="Base-EMR-Eqn-Para"/>
    <w:uiPriority w:val="99"/>
    <w:pPr>
      <w:ind w:left="2835"/>
    </w:pPr>
  </w:style>
  <w:style w:type="paragraph" w:customStyle="1" w:styleId="EMR-Eqn-Para-In-4">
    <w:name w:val="EMR-Eqn-Para-In-4"/>
    <w:basedOn w:val="Base-EMR-Eqn-Para"/>
    <w:uiPriority w:val="99"/>
    <w:pPr>
      <w:ind w:left="3402"/>
    </w:pPr>
  </w:style>
  <w:style w:type="paragraph" w:customStyle="1" w:styleId="Source-Note-Para-In-1">
    <w:name w:val="Source-Note-Para-In-1"/>
    <w:basedOn w:val="Source-Note-Para"/>
    <w:uiPriority w:val="99"/>
    <w:pPr>
      <w:ind w:left="567"/>
    </w:pPr>
  </w:style>
  <w:style w:type="paragraph" w:customStyle="1" w:styleId="Source-Note-Para-In-2">
    <w:name w:val="Source-Note-Para-In-2"/>
    <w:basedOn w:val="Source-Note-Para"/>
    <w:uiPriority w:val="99"/>
    <w:pPr>
      <w:ind w:left="1134"/>
    </w:pPr>
  </w:style>
  <w:style w:type="paragraph" w:customStyle="1" w:styleId="Source-Note-Para-In-3">
    <w:name w:val="Source-Note-Para-In-3"/>
    <w:basedOn w:val="Source-Note-Para"/>
    <w:uiPriority w:val="99"/>
    <w:pPr>
      <w:ind w:left="1701"/>
    </w:pPr>
  </w:style>
  <w:style w:type="paragraph" w:customStyle="1" w:styleId="Source-Note-Para-In-4">
    <w:name w:val="Source-Note-Para-In-4"/>
    <w:basedOn w:val="Source-Note-Para"/>
    <w:uiPriority w:val="99"/>
    <w:pPr>
      <w:ind w:left="2268"/>
    </w:pPr>
  </w:style>
  <w:style w:type="paragraph" w:customStyle="1" w:styleId="NER-Source-Note-Para">
    <w:name w:val="NER-Source-Note-Para"/>
    <w:basedOn w:val="Base-NER-RC-Para"/>
    <w:uiPriority w:val="99"/>
    <w:rPr>
      <w:rFonts w:ascii="Arial" w:hAnsi="Arial" w:cs="Arial"/>
      <w:sz w:val="18"/>
      <w:szCs w:val="18"/>
    </w:rPr>
  </w:style>
  <w:style w:type="paragraph" w:customStyle="1" w:styleId="NER-Source-Note-Para-PgWide">
    <w:name w:val="NER-Source-Note-Para-PgWide"/>
    <w:basedOn w:val="NER-Source-Note-Para"/>
    <w:uiPriority w:val="99"/>
    <w:pPr>
      <w:ind w:left="0"/>
    </w:pPr>
  </w:style>
  <w:style w:type="paragraph" w:customStyle="1" w:styleId="NER-Source-Note-Para-In-1">
    <w:name w:val="NER-Source-Note-Para-In-1"/>
    <w:basedOn w:val="NER-Source-Note-Para"/>
    <w:uiPriority w:val="99"/>
    <w:pPr>
      <w:ind w:left="1701"/>
    </w:pPr>
  </w:style>
  <w:style w:type="paragraph" w:customStyle="1" w:styleId="NER-Source-Note-Para-In-2">
    <w:name w:val="NER-Source-Note-Para-In-2"/>
    <w:basedOn w:val="NER-Source-Note-Para"/>
    <w:uiPriority w:val="99"/>
    <w:pPr>
      <w:ind w:left="2268"/>
    </w:pPr>
  </w:style>
  <w:style w:type="paragraph" w:customStyle="1" w:styleId="NER-Source-Note-Para-In-3">
    <w:name w:val="NER-Source-Note-Para-In-3"/>
    <w:basedOn w:val="NER-Source-Note-Para"/>
    <w:uiPriority w:val="99"/>
    <w:pPr>
      <w:ind w:left="2835"/>
    </w:pPr>
  </w:style>
  <w:style w:type="paragraph" w:customStyle="1" w:styleId="NER-Source-Note-Para-In-4">
    <w:name w:val="NER-Source-Note-Para-In-4"/>
    <w:basedOn w:val="NER-Source-Note-Para"/>
    <w:uiPriority w:val="99"/>
    <w:pPr>
      <w:ind w:left="3402"/>
    </w:pPr>
  </w:style>
  <w:style w:type="paragraph" w:customStyle="1" w:styleId="EMR-Source-Note-Para">
    <w:name w:val="EMR-Source-Note-Para"/>
    <w:basedOn w:val="Base-EMR-RSR-Para"/>
    <w:uiPriority w:val="99"/>
    <w:rPr>
      <w:rFonts w:ascii="Arial" w:hAnsi="Arial" w:cs="Arial"/>
      <w:sz w:val="18"/>
      <w:szCs w:val="18"/>
    </w:rPr>
  </w:style>
  <w:style w:type="paragraph" w:customStyle="1" w:styleId="EMR-Source-Note-Para-PgWide">
    <w:name w:val="EMR-Source-Note-Para-PgWide"/>
    <w:basedOn w:val="EMR-Source-Note-Para"/>
    <w:uiPriority w:val="99"/>
    <w:pPr>
      <w:ind w:left="0"/>
    </w:pPr>
  </w:style>
  <w:style w:type="paragraph" w:customStyle="1" w:styleId="EMR-Source-Note-Para-In-1">
    <w:name w:val="EMR-Source-Note-Para-In-1"/>
    <w:basedOn w:val="EMR-Source-Note-Para"/>
    <w:uiPriority w:val="99"/>
    <w:pPr>
      <w:ind w:left="1701"/>
    </w:pPr>
  </w:style>
  <w:style w:type="paragraph" w:customStyle="1" w:styleId="EMR-Source-Note-Para-In-2">
    <w:name w:val="EMR-Source-Note-Para-In-2"/>
    <w:basedOn w:val="EMR-Source-Note-Para"/>
    <w:uiPriority w:val="99"/>
    <w:pPr>
      <w:ind w:left="2268"/>
    </w:pPr>
  </w:style>
  <w:style w:type="paragraph" w:customStyle="1" w:styleId="EMR-Source-Note-Para-In-3">
    <w:name w:val="EMR-Source-Note-Para-In-3"/>
    <w:basedOn w:val="EMR-Source-Note-Para"/>
    <w:uiPriority w:val="99"/>
    <w:pPr>
      <w:ind w:left="2835"/>
    </w:pPr>
  </w:style>
  <w:style w:type="paragraph" w:customStyle="1" w:styleId="EMR-Source-Note-Para-In-4">
    <w:name w:val="EMR-Source-Note-Para-In-4"/>
    <w:basedOn w:val="EMR-Source-Note-Para"/>
    <w:uiPriority w:val="99"/>
    <w:pPr>
      <w:ind w:left="3402"/>
    </w:pPr>
  </w:style>
  <w:style w:type="paragraph" w:customStyle="1" w:styleId="EMR-Eqn-Text-new-line-only">
    <w:name w:val="EMR-Eqn-Text-new-line-only"/>
    <w:basedOn w:val="Base-EMR-Eqn-Para"/>
    <w:uiPriority w:val="99"/>
    <w:pPr>
      <w:spacing w:before="0" w:after="0"/>
    </w:pPr>
  </w:style>
  <w:style w:type="paragraph" w:customStyle="1" w:styleId="EMR-Eqn-Text">
    <w:name w:val="EMR-Eqn-Text"/>
    <w:basedOn w:val="Base-EMR-Eqn-Para"/>
    <w:uiPriority w:val="99"/>
  </w:style>
  <w:style w:type="paragraph" w:customStyle="1" w:styleId="EMR-Eqn-Text-In-1">
    <w:name w:val="EMR-Eqn-Text-In-1"/>
    <w:basedOn w:val="EMR-Eqn-Para-In-1"/>
    <w:uiPriority w:val="99"/>
  </w:style>
  <w:style w:type="paragraph" w:customStyle="1" w:styleId="EMR-Eqn-Text-In-2">
    <w:name w:val="EMR-Eqn-Text-In-2"/>
    <w:basedOn w:val="EMR-Eqn-Para-In-2"/>
    <w:uiPriority w:val="99"/>
  </w:style>
  <w:style w:type="paragraph" w:customStyle="1" w:styleId="EMR-Eqn-Text-In-3">
    <w:name w:val="EMR-Eqn-Text-In-3"/>
    <w:basedOn w:val="EMR-Eqn-Para-In-3"/>
    <w:uiPriority w:val="99"/>
  </w:style>
  <w:style w:type="paragraph" w:customStyle="1" w:styleId="EMR-Eqn-Text-In-4">
    <w:name w:val="EMR-Eqn-Text-In-4"/>
    <w:basedOn w:val="EMR-Eqn-Para-In-4"/>
    <w:uiPriority w:val="99"/>
  </w:style>
  <w:style w:type="paragraph" w:customStyle="1" w:styleId="EMR-Eq-Definition">
    <w:name w:val="EMR-Eq-Definition"/>
    <w:basedOn w:val="Base-EMR-Eqn-Para"/>
    <w:uiPriority w:val="99"/>
  </w:style>
  <w:style w:type="paragraph" w:customStyle="1" w:styleId="EMR-Eq-Definition-In-1">
    <w:name w:val="EMR-Eq-Definition-In-1"/>
    <w:basedOn w:val="EMR-Eqn-Para-In-1"/>
    <w:uiPriority w:val="99"/>
  </w:style>
  <w:style w:type="paragraph" w:customStyle="1" w:styleId="EMR-Eq-Definition-In-2">
    <w:name w:val="EMR-Eq-Definition-In-2"/>
    <w:basedOn w:val="EMR-Eqn-Para-In-2"/>
    <w:uiPriority w:val="99"/>
  </w:style>
  <w:style w:type="paragraph" w:customStyle="1" w:styleId="EMR-Eq-Definition-In-3">
    <w:name w:val="EMR-Eq-Definition-In-3"/>
    <w:basedOn w:val="EMR-Eqn-Para-In-3"/>
    <w:uiPriority w:val="99"/>
  </w:style>
  <w:style w:type="paragraph" w:customStyle="1" w:styleId="EMR-Eq-Definition-In-4">
    <w:name w:val="EMR-Eq-Definition-In-4"/>
    <w:basedOn w:val="EMR-Eqn-Para-In-4"/>
    <w:uiPriority w:val="99"/>
  </w:style>
  <w:style w:type="paragraph" w:customStyle="1" w:styleId="EMR-Eqn-List-1-UNum">
    <w:name w:val="EMR-Eqn-List-1-UNum"/>
    <w:basedOn w:val="Base-EMR-Eqn-Para"/>
    <w:uiPriority w:val="99"/>
  </w:style>
  <w:style w:type="paragraph" w:customStyle="1" w:styleId="EMR-Eqn-List-2-UNum">
    <w:name w:val="EMR-Eqn-List-2-UNum"/>
    <w:basedOn w:val="Base-EMR-Eqn-Para"/>
    <w:uiPriority w:val="99"/>
    <w:pPr>
      <w:ind w:left="1701"/>
    </w:pPr>
  </w:style>
  <w:style w:type="paragraph" w:customStyle="1" w:styleId="EMR-Eqn-List-3-UNum">
    <w:name w:val="EMR-Eqn-List-3-UNum"/>
    <w:basedOn w:val="Base-EMR-Eqn-Para"/>
    <w:uiPriority w:val="99"/>
    <w:pPr>
      <w:ind w:left="2268"/>
    </w:pPr>
  </w:style>
  <w:style w:type="paragraph" w:customStyle="1" w:styleId="EMR-Eqn-List-4-UNum">
    <w:name w:val="EMR-Eqn-List-4-UNum"/>
    <w:basedOn w:val="Base-EMR-Eqn-Para"/>
    <w:uiPriority w:val="99"/>
    <w:pPr>
      <w:ind w:left="2835"/>
    </w:pPr>
  </w:style>
  <w:style w:type="paragraph" w:customStyle="1" w:styleId="EMR-Eqn-List-1-MNum">
    <w:name w:val="EMR-Eqn-List-1-MNum"/>
    <w:basedOn w:val="EMR-Eqn-List-1-UNum"/>
    <w:uiPriority w:val="99"/>
    <w:pPr>
      <w:tabs>
        <w:tab w:val="left" w:pos="1701"/>
      </w:tabs>
      <w:ind w:left="1701" w:hanging="567"/>
    </w:pPr>
  </w:style>
  <w:style w:type="paragraph" w:customStyle="1" w:styleId="EMR-Eqn-List-2-MNum">
    <w:name w:val="EMR-Eqn-List-2-MNum"/>
    <w:basedOn w:val="EMR-Eqn-List-2-UNum"/>
    <w:uiPriority w:val="99"/>
    <w:pPr>
      <w:tabs>
        <w:tab w:val="left" w:pos="2268"/>
      </w:tabs>
      <w:ind w:left="2268" w:hanging="567"/>
    </w:pPr>
  </w:style>
  <w:style w:type="paragraph" w:customStyle="1" w:styleId="EMR-Eqn-List-3-MNum">
    <w:name w:val="EMR-Eqn-List-3-MNum"/>
    <w:basedOn w:val="EMR-Eqn-List-3-UNum"/>
    <w:uiPriority w:val="99"/>
    <w:pPr>
      <w:tabs>
        <w:tab w:val="left" w:pos="2835"/>
      </w:tabs>
      <w:ind w:left="2835" w:hanging="567"/>
    </w:pPr>
  </w:style>
  <w:style w:type="paragraph" w:customStyle="1" w:styleId="EMR-Eqn-List-4-MNum">
    <w:name w:val="EMR-Eqn-List-4-MNum"/>
    <w:basedOn w:val="EMR-Eqn-List-4-UNum"/>
    <w:uiPriority w:val="99"/>
    <w:pPr>
      <w:tabs>
        <w:tab w:val="left" w:pos="3402"/>
      </w:tabs>
      <w:ind w:left="3402" w:hanging="567"/>
    </w:pPr>
  </w:style>
  <w:style w:type="paragraph" w:customStyle="1" w:styleId="Base-EMR-Example-Title">
    <w:name w:val="Base-EMR-Example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ample-Title-UNum">
    <w:name w:val="EMR-Example-Title-UNum"/>
    <w:basedOn w:val="Base-EMR-Example-Title"/>
    <w:uiPriority w:val="99"/>
  </w:style>
  <w:style w:type="paragraph" w:customStyle="1" w:styleId="EMR-Example-Title-UNum-In-1">
    <w:name w:val="EMR-Example-Title-UNum-In-1"/>
    <w:basedOn w:val="Base-EMR-Example-Title"/>
    <w:uiPriority w:val="99"/>
    <w:pPr>
      <w:ind w:left="1701"/>
    </w:pPr>
  </w:style>
  <w:style w:type="paragraph" w:customStyle="1" w:styleId="EMR-Example-Title-UNum-In-2">
    <w:name w:val="EMR-Example-Title-UNum-In-2"/>
    <w:basedOn w:val="Base-EMR-Example-Title"/>
    <w:uiPriority w:val="99"/>
    <w:pPr>
      <w:ind w:left="2268"/>
    </w:pPr>
  </w:style>
  <w:style w:type="paragraph" w:customStyle="1" w:styleId="EMR-Example-Title-UNum-In-3">
    <w:name w:val="EMR-Example-Title-UNum-In-3"/>
    <w:basedOn w:val="Base-EMR-Example-Title"/>
    <w:uiPriority w:val="99"/>
    <w:pPr>
      <w:ind w:left="2835"/>
    </w:pPr>
  </w:style>
  <w:style w:type="paragraph" w:customStyle="1" w:styleId="EMR-Example-Title-UNum-In-4">
    <w:name w:val="EMR-Example-Title-UNum-In-4"/>
    <w:basedOn w:val="Base-EMR-Example-Title"/>
    <w:uiPriority w:val="99"/>
    <w:pPr>
      <w:ind w:left="3402"/>
    </w:pPr>
  </w:style>
  <w:style w:type="paragraph" w:customStyle="1" w:styleId="EMR-Example-Title-MNum">
    <w:name w:val="EMR-Example-Title-MNum"/>
    <w:basedOn w:val="EMR-Example-Title-UNum"/>
    <w:uiPriority w:val="99"/>
    <w:pPr>
      <w:tabs>
        <w:tab w:val="left" w:pos="2268"/>
      </w:tabs>
      <w:ind w:left="2268" w:hanging="1134"/>
    </w:pPr>
  </w:style>
  <w:style w:type="paragraph" w:customStyle="1" w:styleId="EMR-Example-Title-MNum-In-1">
    <w:name w:val="EMR-Example-Title-MNum-In-1"/>
    <w:basedOn w:val="EMR-Example-Title-UNum-In-1"/>
    <w:uiPriority w:val="99"/>
    <w:pPr>
      <w:tabs>
        <w:tab w:val="left" w:pos="2835"/>
      </w:tabs>
      <w:ind w:left="2835" w:hanging="1134"/>
    </w:pPr>
  </w:style>
  <w:style w:type="paragraph" w:customStyle="1" w:styleId="EMR-Example-Title-MNum-In-2">
    <w:name w:val="EMR-Example-Title-MNum-In-2"/>
    <w:basedOn w:val="EMR-Example-Title-UNum-In-2"/>
    <w:uiPriority w:val="99"/>
    <w:pPr>
      <w:tabs>
        <w:tab w:val="left" w:pos="3402"/>
      </w:tabs>
      <w:ind w:left="3402" w:hanging="1134"/>
    </w:pPr>
  </w:style>
  <w:style w:type="paragraph" w:customStyle="1" w:styleId="EMR-Example-Title-MNum-In-3">
    <w:name w:val="EMR-Example-Title-MNum-In-3"/>
    <w:basedOn w:val="EMR-Example-Title-UNum-In-3"/>
    <w:uiPriority w:val="99"/>
    <w:pPr>
      <w:tabs>
        <w:tab w:val="left" w:pos="3969"/>
      </w:tabs>
      <w:ind w:left="3969" w:hanging="1134"/>
    </w:pPr>
  </w:style>
  <w:style w:type="paragraph" w:customStyle="1" w:styleId="EMR-Example-Title-MNum-In-4">
    <w:name w:val="EMR-Example-Title-MNum-In-4"/>
    <w:basedOn w:val="EMR-Example-Title-UNum-In-4"/>
    <w:uiPriority w:val="99"/>
    <w:pPr>
      <w:tabs>
        <w:tab w:val="left" w:pos="4537"/>
      </w:tabs>
      <w:ind w:left="4537" w:hanging="1134"/>
    </w:pPr>
  </w:style>
  <w:style w:type="paragraph" w:customStyle="1" w:styleId="Base-EMR-Example-Para">
    <w:name w:val="Base-EMR-Example-Para"/>
    <w:basedOn w:val="Base-EMR-RSR-Para"/>
    <w:uiPriority w:val="99"/>
    <w:rPr>
      <w:sz w:val="20"/>
      <w:szCs w:val="20"/>
    </w:rPr>
  </w:style>
  <w:style w:type="paragraph" w:customStyle="1" w:styleId="EMR-Example-Para">
    <w:name w:val="EMR-Example-Para"/>
    <w:basedOn w:val="Base-EMR-Example-Para"/>
    <w:uiPriority w:val="99"/>
  </w:style>
  <w:style w:type="paragraph" w:customStyle="1" w:styleId="EMR-Example-Para-In-1">
    <w:name w:val="EMR-Example-Para-In-1"/>
    <w:basedOn w:val="Base-EMR-Example-Para"/>
    <w:uiPriority w:val="99"/>
    <w:pPr>
      <w:ind w:left="1701"/>
    </w:pPr>
  </w:style>
  <w:style w:type="paragraph" w:customStyle="1" w:styleId="EMR-Example-Para-In-2">
    <w:name w:val="EMR-Example-Para-In-2"/>
    <w:basedOn w:val="Base-EMR-Example-Para"/>
    <w:uiPriority w:val="99"/>
    <w:pPr>
      <w:ind w:left="2268"/>
    </w:pPr>
  </w:style>
  <w:style w:type="paragraph" w:customStyle="1" w:styleId="EMR-Example-Para-In-3">
    <w:name w:val="EMR-Example-Para-In-3"/>
    <w:basedOn w:val="Base-EMR-Example-Para"/>
    <w:uiPriority w:val="99"/>
    <w:pPr>
      <w:ind w:left="2835"/>
    </w:pPr>
  </w:style>
  <w:style w:type="paragraph" w:customStyle="1" w:styleId="EMR-Example-Para-In-4">
    <w:name w:val="EMR-Example-Para-In-4"/>
    <w:basedOn w:val="Base-EMR-Example-Para"/>
    <w:uiPriority w:val="99"/>
    <w:pPr>
      <w:ind w:left="3402"/>
    </w:pPr>
  </w:style>
  <w:style w:type="paragraph" w:customStyle="1" w:styleId="EMR-Example-Text-new-line-only">
    <w:name w:val="EMR-Example-Text-new-line-only"/>
    <w:basedOn w:val="Base-EMR-Example-Para"/>
    <w:uiPriority w:val="99"/>
    <w:pPr>
      <w:spacing w:before="0" w:after="0"/>
    </w:pPr>
  </w:style>
  <w:style w:type="paragraph" w:customStyle="1" w:styleId="EMR-Example-Text">
    <w:name w:val="EMR-Example-Text"/>
    <w:basedOn w:val="Base-EMR-Example-Para"/>
    <w:uiPriority w:val="99"/>
  </w:style>
  <w:style w:type="paragraph" w:customStyle="1" w:styleId="EMR-Example-Text-In-1">
    <w:name w:val="EMR-Example-Text-In-1"/>
    <w:basedOn w:val="EMR-Example-Para-In-1"/>
    <w:uiPriority w:val="99"/>
  </w:style>
  <w:style w:type="paragraph" w:customStyle="1" w:styleId="EMR-Example-Text-In-2">
    <w:name w:val="EMR-Example-Text-In-2"/>
    <w:basedOn w:val="EMR-Example-Para-In-2"/>
    <w:uiPriority w:val="99"/>
  </w:style>
  <w:style w:type="paragraph" w:customStyle="1" w:styleId="EMR-Example-Text-In-3">
    <w:name w:val="EMR-Example-Text-In-3"/>
    <w:basedOn w:val="EMR-Example-Para-In-3"/>
    <w:uiPriority w:val="99"/>
  </w:style>
  <w:style w:type="paragraph" w:customStyle="1" w:styleId="EMR-Example-Text-In-4">
    <w:name w:val="EMR-Example-Text-In-4"/>
    <w:basedOn w:val="EMR-Example-Para-In-4"/>
    <w:uiPriority w:val="99"/>
  </w:style>
  <w:style w:type="paragraph" w:customStyle="1" w:styleId="EMR-Example-List-1-UNum">
    <w:name w:val="EMR-Example-List-1-UNum"/>
    <w:basedOn w:val="Base-EMR-Example-Para"/>
    <w:uiPriority w:val="99"/>
  </w:style>
  <w:style w:type="paragraph" w:customStyle="1" w:styleId="EMR-Example-List-2-UNum">
    <w:name w:val="EMR-Example-List-2-UNum"/>
    <w:basedOn w:val="Base-EMR-Example-Para"/>
    <w:uiPriority w:val="99"/>
    <w:pPr>
      <w:ind w:left="1701"/>
    </w:pPr>
  </w:style>
  <w:style w:type="paragraph" w:customStyle="1" w:styleId="EMR-Example-List-3-UNum">
    <w:name w:val="EMR-Example-List-3-UNum"/>
    <w:basedOn w:val="Base-EMR-Example-Para"/>
    <w:uiPriority w:val="99"/>
    <w:pPr>
      <w:ind w:left="2268"/>
    </w:pPr>
  </w:style>
  <w:style w:type="paragraph" w:customStyle="1" w:styleId="EMR-Example-List-1-MNum">
    <w:name w:val="EMR-Example-List-1-MNum"/>
    <w:basedOn w:val="EMR-Example-List-1-UNum"/>
    <w:uiPriority w:val="99"/>
    <w:pPr>
      <w:tabs>
        <w:tab w:val="left" w:pos="1701"/>
      </w:tabs>
      <w:ind w:left="1701" w:hanging="567"/>
    </w:pPr>
  </w:style>
  <w:style w:type="paragraph" w:customStyle="1" w:styleId="EMR-Example-List-2-MNum">
    <w:name w:val="EMR-Example-List-2-MNum"/>
    <w:basedOn w:val="EMR-Example-List-2-UNum"/>
    <w:uiPriority w:val="99"/>
    <w:pPr>
      <w:tabs>
        <w:tab w:val="left" w:pos="2268"/>
      </w:tabs>
      <w:ind w:left="2268" w:hanging="567"/>
    </w:pPr>
  </w:style>
  <w:style w:type="paragraph" w:customStyle="1" w:styleId="EMR-Example-List-3-MNum">
    <w:name w:val="EMR-Example-List-3-MNum"/>
    <w:basedOn w:val="EMR-Example-List-3-UNum"/>
    <w:uiPriority w:val="99"/>
    <w:pPr>
      <w:tabs>
        <w:tab w:val="left" w:pos="2835"/>
      </w:tabs>
      <w:ind w:left="2835" w:hanging="567"/>
    </w:pPr>
  </w:style>
  <w:style w:type="paragraph" w:customStyle="1" w:styleId="EMR-Example-List-4-MNum">
    <w:name w:val="EMR-Example-List-4-MNum"/>
    <w:basedOn w:val="EMR-Example-List-3-UNum"/>
    <w:uiPriority w:val="99"/>
    <w:pPr>
      <w:tabs>
        <w:tab w:val="left" w:pos="3402"/>
      </w:tabs>
      <w:ind w:left="3402" w:hanging="567"/>
    </w:pPr>
  </w:style>
  <w:style w:type="paragraph" w:customStyle="1" w:styleId="EMR-Example-List-1-bull">
    <w:name w:val="EMR-Example-List-1-bull"/>
    <w:basedOn w:val="EMR-Example-List-1-MNum"/>
    <w:uiPriority w:val="99"/>
  </w:style>
  <w:style w:type="paragraph" w:customStyle="1" w:styleId="EMR-Example-List-2-bull">
    <w:name w:val="EMR-Example-List-2-bull"/>
    <w:basedOn w:val="EMR-Example-List-2-MNum"/>
    <w:uiPriority w:val="99"/>
  </w:style>
  <w:style w:type="paragraph" w:customStyle="1" w:styleId="EMR-Example-List-3-bull">
    <w:name w:val="EMR-Example-List-3-bull"/>
    <w:basedOn w:val="EMR-Example-List-3-MNum"/>
    <w:uiPriority w:val="99"/>
  </w:style>
  <w:style w:type="paragraph" w:customStyle="1" w:styleId="EMR-Example-List-4-bull">
    <w:name w:val="EMR-Example-List-4-bull"/>
    <w:basedOn w:val="EMR-Example-List-4-MNum"/>
    <w:uiPriority w:val="99"/>
  </w:style>
  <w:style w:type="paragraph" w:customStyle="1" w:styleId="EMR-Example-List-1-ANum">
    <w:name w:val="EMR-Example-List-1-ANum"/>
    <w:basedOn w:val="EMR-Example-List-1-MNum"/>
    <w:uiPriority w:val="99"/>
  </w:style>
  <w:style w:type="paragraph" w:customStyle="1" w:styleId="EMR-Example-List-2-ANum">
    <w:name w:val="EMR-Example-List-2-ANum"/>
    <w:basedOn w:val="EMR-Example-List-2-MNum"/>
    <w:uiPriority w:val="99"/>
  </w:style>
  <w:style w:type="paragraph" w:customStyle="1" w:styleId="EMR-Example-List-3-ANum">
    <w:name w:val="EMR-Example-List-3-ANum"/>
    <w:basedOn w:val="EMR-Example-List-3-MNum"/>
    <w:uiPriority w:val="99"/>
  </w:style>
  <w:style w:type="paragraph" w:customStyle="1" w:styleId="Base-EMR-Explain-Title">
    <w:name w:val="Base-EMR-Explain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plain-Title-UNum">
    <w:name w:val="EMR-Explain-Title-UNum"/>
    <w:basedOn w:val="Base-EMR-Explain-Title"/>
    <w:uiPriority w:val="99"/>
  </w:style>
  <w:style w:type="paragraph" w:customStyle="1" w:styleId="EMR-Explain-Title-UNum-In-1">
    <w:name w:val="EMR-Explain-Title-UNum-In-1"/>
    <w:basedOn w:val="Base-EMR-Explain-Title"/>
    <w:uiPriority w:val="99"/>
    <w:pPr>
      <w:ind w:left="1701"/>
    </w:pPr>
  </w:style>
  <w:style w:type="paragraph" w:customStyle="1" w:styleId="EMR-Explain-Title-UNum-In-2">
    <w:name w:val="EMR-Explain-Title-UNum-In-2"/>
    <w:basedOn w:val="Base-EMR-Explain-Title"/>
    <w:uiPriority w:val="99"/>
    <w:pPr>
      <w:ind w:left="2268"/>
    </w:pPr>
  </w:style>
  <w:style w:type="paragraph" w:customStyle="1" w:styleId="EMR-Explain-Title-UNum-In-3">
    <w:name w:val="EMR-Explain-Title-UNum-In-3"/>
    <w:basedOn w:val="Base-EMR-Explain-Title"/>
    <w:uiPriority w:val="99"/>
    <w:pPr>
      <w:ind w:left="2835"/>
    </w:pPr>
  </w:style>
  <w:style w:type="paragraph" w:customStyle="1" w:styleId="EMR-Explain-Title-UNum-In-4">
    <w:name w:val="EMR-Explain-Title-UNum-In-4"/>
    <w:basedOn w:val="Base-EMR-Explain-Title"/>
    <w:uiPriority w:val="99"/>
    <w:pPr>
      <w:ind w:left="3402"/>
    </w:pPr>
  </w:style>
  <w:style w:type="paragraph" w:customStyle="1" w:styleId="Base-EMR-Explain-Para">
    <w:name w:val="Base-EMR-Explain-Para"/>
    <w:basedOn w:val="Base-EMR-RSR-Para"/>
    <w:uiPriority w:val="99"/>
    <w:rPr>
      <w:sz w:val="20"/>
      <w:szCs w:val="20"/>
    </w:rPr>
  </w:style>
  <w:style w:type="paragraph" w:customStyle="1" w:styleId="EMR-Explain-Para-In-1">
    <w:name w:val="EMR-Explain-Para-In-1"/>
    <w:basedOn w:val="Base-EMR-Explain-Para"/>
    <w:uiPriority w:val="99"/>
    <w:pPr>
      <w:ind w:left="1701"/>
    </w:pPr>
  </w:style>
  <w:style w:type="paragraph" w:customStyle="1" w:styleId="EMR-Explain-Para-In-2">
    <w:name w:val="EMR-Explain-Para-In-2"/>
    <w:basedOn w:val="Base-EMR-Explain-Para"/>
    <w:uiPriority w:val="99"/>
    <w:pPr>
      <w:ind w:left="2268"/>
    </w:pPr>
  </w:style>
  <w:style w:type="paragraph" w:customStyle="1" w:styleId="EMR-Explain-Para-In-3">
    <w:name w:val="EMR-Explain-Para-In-3"/>
    <w:basedOn w:val="Base-EMR-Explain-Para"/>
    <w:uiPriority w:val="99"/>
    <w:pPr>
      <w:ind w:left="2835"/>
    </w:pPr>
  </w:style>
  <w:style w:type="paragraph" w:customStyle="1" w:styleId="EMR-Explain-Text-new-line-only">
    <w:name w:val="EMR-Explain-Text-new-line-only"/>
    <w:basedOn w:val="Base-EMR-Explain-Para"/>
    <w:uiPriority w:val="99"/>
    <w:pPr>
      <w:spacing w:before="0" w:after="0"/>
    </w:pPr>
  </w:style>
  <w:style w:type="paragraph" w:customStyle="1" w:styleId="EMR-Explain-Text">
    <w:name w:val="EMR-Explain-Text"/>
    <w:basedOn w:val="Base-EMR-Explain-Para"/>
    <w:uiPriority w:val="99"/>
  </w:style>
  <w:style w:type="paragraph" w:customStyle="1" w:styleId="EMR-Explain-Text-In-1">
    <w:name w:val="EMR-Explain-Text-In-1"/>
    <w:basedOn w:val="Base-EMR-Explain-Para"/>
    <w:uiPriority w:val="99"/>
    <w:pPr>
      <w:ind w:left="1701"/>
    </w:pPr>
  </w:style>
  <w:style w:type="paragraph" w:customStyle="1" w:styleId="EMR-Explain-Text-In-2">
    <w:name w:val="EMR-Explain-Text-In-2"/>
    <w:basedOn w:val="Base-EMR-Explain-Para"/>
    <w:uiPriority w:val="99"/>
    <w:pPr>
      <w:ind w:left="2268"/>
    </w:pPr>
  </w:style>
  <w:style w:type="paragraph" w:customStyle="1" w:styleId="EMR-Explain-Text-In-3">
    <w:name w:val="EMR-Explain-Text-In-3"/>
    <w:basedOn w:val="Base-EMR-Explain-Para"/>
    <w:uiPriority w:val="99"/>
    <w:pPr>
      <w:ind w:left="2835"/>
    </w:pPr>
  </w:style>
  <w:style w:type="paragraph" w:customStyle="1" w:styleId="EMR-Explain-Text-In-4">
    <w:name w:val="EMR-Explain-Text-In-4"/>
    <w:basedOn w:val="Base-EMR-Explain-Para"/>
    <w:uiPriority w:val="99"/>
    <w:pPr>
      <w:ind w:left="3402"/>
    </w:pPr>
  </w:style>
  <w:style w:type="paragraph" w:customStyle="1" w:styleId="EMR-Explain-List-1-UNum">
    <w:name w:val="EMR-Explain-List-1-UNum"/>
    <w:basedOn w:val="Base-EMR-Explain-Para"/>
    <w:uiPriority w:val="99"/>
  </w:style>
  <w:style w:type="paragraph" w:customStyle="1" w:styleId="EMR-Explain-List-2-UNum">
    <w:name w:val="EMR-Explain-List-2-UNum"/>
    <w:basedOn w:val="Base-EMR-Explain-Para"/>
    <w:uiPriority w:val="99"/>
    <w:pPr>
      <w:ind w:left="1701"/>
    </w:pPr>
  </w:style>
  <w:style w:type="paragraph" w:customStyle="1" w:styleId="EMR-Explain-List-3-UNum">
    <w:name w:val="EMR-Explain-List-3-UNum"/>
    <w:basedOn w:val="Base-EMR-Explain-Para"/>
    <w:uiPriority w:val="99"/>
    <w:pPr>
      <w:ind w:left="2268"/>
    </w:pPr>
  </w:style>
  <w:style w:type="paragraph" w:customStyle="1" w:styleId="EMR-Explain-List-4-UNum">
    <w:name w:val="EMR-Explain-List-4-UNum"/>
    <w:basedOn w:val="Base-EMR-Explain-Para"/>
    <w:uiPriority w:val="99"/>
    <w:pPr>
      <w:ind w:left="2835"/>
    </w:pPr>
  </w:style>
  <w:style w:type="paragraph" w:customStyle="1" w:styleId="EMR-Explain-List-1-MNum">
    <w:name w:val="EMR-Explain-List-1-MNum"/>
    <w:basedOn w:val="EMR-Explain-List-1-UNum"/>
    <w:uiPriority w:val="99"/>
    <w:pPr>
      <w:tabs>
        <w:tab w:val="left" w:pos="1701"/>
      </w:tabs>
      <w:ind w:left="1701" w:hanging="567"/>
    </w:pPr>
  </w:style>
  <w:style w:type="paragraph" w:customStyle="1" w:styleId="EMR-Explain-List-2-MNum">
    <w:name w:val="EMR-Explain-List-2-MNum"/>
    <w:basedOn w:val="EMR-Explain-List-2-UNum"/>
    <w:uiPriority w:val="99"/>
    <w:pPr>
      <w:tabs>
        <w:tab w:val="left" w:pos="2268"/>
      </w:tabs>
      <w:ind w:left="2268" w:hanging="567"/>
    </w:pPr>
  </w:style>
  <w:style w:type="paragraph" w:customStyle="1" w:styleId="EMR-Explain-List-3-MNum">
    <w:name w:val="EMR-Explain-List-3-MNum"/>
    <w:basedOn w:val="EMR-Explain-List-3-UNum"/>
    <w:uiPriority w:val="99"/>
    <w:pPr>
      <w:tabs>
        <w:tab w:val="left" w:pos="2835"/>
      </w:tabs>
      <w:ind w:left="2835" w:hanging="567"/>
    </w:pPr>
  </w:style>
  <w:style w:type="paragraph" w:customStyle="1" w:styleId="EMR-Explain-List-4-MNum">
    <w:name w:val="EMR-Explain-List-4-MNum"/>
    <w:basedOn w:val="EMR-Explain-List-4-UNum"/>
    <w:uiPriority w:val="99"/>
    <w:pPr>
      <w:tabs>
        <w:tab w:val="left" w:pos="3402"/>
      </w:tabs>
      <w:ind w:left="3402" w:hanging="567"/>
    </w:pPr>
  </w:style>
  <w:style w:type="paragraph" w:customStyle="1" w:styleId="EMR-Explain-List-1-bull">
    <w:name w:val="EMR-Explain-List-1-bull"/>
    <w:basedOn w:val="EMR-Explain-List-1-MNum"/>
    <w:uiPriority w:val="99"/>
  </w:style>
  <w:style w:type="paragraph" w:customStyle="1" w:styleId="EMR-Explain-List-2-bull">
    <w:name w:val="EMR-Explain-List-2-bull"/>
    <w:basedOn w:val="EMR-Explain-List-2-MNum"/>
    <w:uiPriority w:val="99"/>
  </w:style>
  <w:style w:type="paragraph" w:customStyle="1" w:styleId="EMR-Explain-List-3-bull">
    <w:name w:val="EMR-Explain-List-3-bull"/>
    <w:basedOn w:val="EMR-Explain-List-3-MNum"/>
    <w:uiPriority w:val="99"/>
  </w:style>
  <w:style w:type="paragraph" w:customStyle="1" w:styleId="EMR-Explain-List-4-bull">
    <w:name w:val="EMR-Explain-List-4-bull"/>
    <w:basedOn w:val="EMR-Explain-List-4-MNum"/>
    <w:uiPriority w:val="99"/>
  </w:style>
  <w:style w:type="paragraph" w:customStyle="1" w:styleId="EMR-Explain-List-1-ANum">
    <w:name w:val="EMR-Explain-List-1-ANum"/>
    <w:basedOn w:val="EMR-Explain-List-1-MNum"/>
    <w:uiPriority w:val="99"/>
  </w:style>
  <w:style w:type="paragraph" w:customStyle="1" w:styleId="EMR-Explain-List-2-ANum">
    <w:name w:val="EMR-Explain-List-2-ANum"/>
    <w:basedOn w:val="EMR-Explain-List-2-MNum"/>
    <w:uiPriority w:val="99"/>
  </w:style>
  <w:style w:type="paragraph" w:customStyle="1" w:styleId="EMR-Explain-List-3-ANum">
    <w:name w:val="EMR-Explain-List-3-ANum"/>
    <w:basedOn w:val="EMR-Explain-List-3-MNum"/>
    <w:uiPriority w:val="99"/>
  </w:style>
  <w:style w:type="paragraph" w:customStyle="1" w:styleId="EMR-Explain-Para">
    <w:name w:val="EMR-Explain-Para"/>
    <w:basedOn w:val="Base-EMR-Explain-Para"/>
    <w:uiPriority w:val="99"/>
  </w:style>
  <w:style w:type="paragraph" w:customStyle="1" w:styleId="Base-EMR-Figure-Title">
    <w:name w:val="Base-EMR-Figure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ig-Title-UNum-PgWide">
    <w:name w:val="EMR-Fig-Title-UNum-PgWide"/>
    <w:basedOn w:val="Base-EMR-Figure-Title"/>
    <w:uiPriority w:val="99"/>
    <w:pPr>
      <w:ind w:left="0"/>
    </w:pPr>
  </w:style>
  <w:style w:type="paragraph" w:customStyle="1" w:styleId="EMR-Fig-Title-UNum-PgWide-in-List-1">
    <w:name w:val="EMR-Fig-Title-UNum-PgWide-in-List-1"/>
    <w:basedOn w:val="EMR-Fig-Title-UNum-PgWide"/>
    <w:uiPriority w:val="99"/>
  </w:style>
  <w:style w:type="paragraph" w:customStyle="1" w:styleId="EMR-Fig-Title-UNum-PgWide-in-List-2">
    <w:name w:val="EMR-Fig-Title-UNum-PgWide-in-List-2"/>
    <w:basedOn w:val="EMR-Fig-Title-UNum-PgWide"/>
    <w:uiPriority w:val="99"/>
  </w:style>
  <w:style w:type="paragraph" w:customStyle="1" w:styleId="EMR-Fig-Title-UNum-PgWide-in-List-3">
    <w:name w:val="EMR-Fig-Title-UNum-PgWide-in-List-3"/>
    <w:basedOn w:val="EMR-Fig-Title-UNum-PgWide"/>
    <w:uiPriority w:val="99"/>
  </w:style>
  <w:style w:type="paragraph" w:customStyle="1" w:styleId="EMR-Fig-Title-UNum-PgWide-in-List-4">
    <w:name w:val="EMR-Fig-Title-UNum-PgWide-in-List-4"/>
    <w:basedOn w:val="EMR-Fig-Title-UNum-PgWide"/>
    <w:uiPriority w:val="99"/>
  </w:style>
  <w:style w:type="paragraph" w:customStyle="1" w:styleId="EMR-Fig-Title-UNum">
    <w:name w:val="EMR-Fig-Title-UNum"/>
    <w:basedOn w:val="Base-EMR-Figure-Title"/>
    <w:uiPriority w:val="99"/>
  </w:style>
  <w:style w:type="paragraph" w:customStyle="1" w:styleId="EMR-Fig-Title-UNum-In-1">
    <w:name w:val="EMR-Fig-Title-UNum-In-1"/>
    <w:basedOn w:val="Base-EMR-Figure-Title"/>
    <w:uiPriority w:val="99"/>
    <w:pPr>
      <w:ind w:left="1701"/>
    </w:pPr>
  </w:style>
  <w:style w:type="paragraph" w:customStyle="1" w:styleId="EMR-Fig-Title-UNum-In-2">
    <w:name w:val="EMR-Fig-Title-UNum-In-2"/>
    <w:basedOn w:val="Base-EMR-Figure-Title"/>
    <w:uiPriority w:val="99"/>
    <w:pPr>
      <w:ind w:left="2268"/>
    </w:pPr>
  </w:style>
  <w:style w:type="paragraph" w:customStyle="1" w:styleId="EMR-Fig-Title-UNum-In-3">
    <w:name w:val="EMR-Fig-Title-UNum-In-3"/>
    <w:basedOn w:val="Base-EMR-Figure-Title"/>
    <w:uiPriority w:val="99"/>
    <w:pPr>
      <w:ind w:left="2835"/>
    </w:pPr>
  </w:style>
  <w:style w:type="paragraph" w:customStyle="1" w:styleId="EMR-Fig-Title-UNum-In-4">
    <w:name w:val="EMR-Fig-Title-UNum-In-4"/>
    <w:basedOn w:val="Base-EMR-Figure-Title"/>
    <w:uiPriority w:val="99"/>
    <w:pPr>
      <w:ind w:left="3402"/>
    </w:pPr>
  </w:style>
  <w:style w:type="paragraph" w:customStyle="1" w:styleId="EMR-Fig-Title-MNum-PgWide">
    <w:name w:val="EMR-Fig-Title-MNum-PgWide"/>
    <w:basedOn w:val="EMR-Fig-Title-UNum-PgWide"/>
    <w:uiPriority w:val="99"/>
    <w:pPr>
      <w:tabs>
        <w:tab w:val="left" w:pos="1701"/>
      </w:tabs>
      <w:ind w:left="1701" w:hanging="1701"/>
    </w:pPr>
  </w:style>
  <w:style w:type="paragraph" w:customStyle="1" w:styleId="EMR-Fig-Title-MNum-PgWide-in-List-1">
    <w:name w:val="EMR-Fig-Title-MNum-PgWide-in-List-1"/>
    <w:basedOn w:val="EMR-Fig-Title-MNum-PgWide"/>
    <w:uiPriority w:val="99"/>
  </w:style>
  <w:style w:type="paragraph" w:customStyle="1" w:styleId="EMR-Fig-Title-MNum-PgWide-in-List-2">
    <w:name w:val="EMR-Fig-Title-MNum-PgWide-in-List-2"/>
    <w:basedOn w:val="EMR-Fig-Title-MNum-PgWide"/>
    <w:uiPriority w:val="99"/>
  </w:style>
  <w:style w:type="paragraph" w:customStyle="1" w:styleId="EMR-Fig-Title-MNum-PgWide-in-List-3">
    <w:name w:val="EMR-Fig-Title-MNum-PgWide-in-List-3"/>
    <w:basedOn w:val="EMR-Fig-Title-MNum-PgWide"/>
    <w:uiPriority w:val="99"/>
  </w:style>
  <w:style w:type="paragraph" w:customStyle="1" w:styleId="EMR-Fig-Title-MNum-PgWide-in-List-4">
    <w:name w:val="EMR-Fig-Title-MNum-PgWide-in-List-4"/>
    <w:basedOn w:val="EMR-Fig-Title-MNum-PgWide"/>
    <w:uiPriority w:val="99"/>
  </w:style>
  <w:style w:type="paragraph" w:customStyle="1" w:styleId="EMR-Fig-Title-MNum">
    <w:name w:val="EMR-Fig-Title-MNum"/>
    <w:basedOn w:val="EMR-Fig-Title-UNum"/>
    <w:uiPriority w:val="99"/>
    <w:pPr>
      <w:tabs>
        <w:tab w:val="left" w:pos="2835"/>
      </w:tabs>
      <w:ind w:left="2835" w:hanging="1701"/>
    </w:pPr>
  </w:style>
  <w:style w:type="paragraph" w:customStyle="1" w:styleId="EMR-Fig-Title-MNum-In-1">
    <w:name w:val="EMR-Fig-Title-MNum-In-1"/>
    <w:basedOn w:val="EMR-Fig-Title-UNum-In-1"/>
    <w:uiPriority w:val="99"/>
    <w:pPr>
      <w:tabs>
        <w:tab w:val="left" w:pos="3402"/>
      </w:tabs>
      <w:ind w:left="3402" w:hanging="1701"/>
    </w:pPr>
  </w:style>
  <w:style w:type="paragraph" w:customStyle="1" w:styleId="EMR-Fig-Title-MNum-In-2">
    <w:name w:val="EMR-Fig-Title-MNum-In-2"/>
    <w:basedOn w:val="EMR-Fig-Title-UNum-In-2"/>
    <w:uiPriority w:val="99"/>
    <w:pPr>
      <w:tabs>
        <w:tab w:val="left" w:pos="3969"/>
      </w:tabs>
      <w:ind w:left="3969" w:hanging="1701"/>
    </w:pPr>
  </w:style>
  <w:style w:type="paragraph" w:customStyle="1" w:styleId="EMR-Fig-Title-MNum-In-3">
    <w:name w:val="EMR-Fig-Title-MNum-In-3"/>
    <w:basedOn w:val="EMR-Fig-Title-UNum-In-3"/>
    <w:uiPriority w:val="99"/>
    <w:pPr>
      <w:tabs>
        <w:tab w:val="left" w:pos="4537"/>
      </w:tabs>
      <w:ind w:left="4537" w:hanging="1701"/>
    </w:pPr>
  </w:style>
  <w:style w:type="paragraph" w:customStyle="1" w:styleId="EMR-Fig-Title-MNum-In-4">
    <w:name w:val="EMR-Fig-Title-MNum-In-4"/>
    <w:basedOn w:val="EMR-Fig-Title-UNum-In-4"/>
    <w:uiPriority w:val="99"/>
    <w:pPr>
      <w:tabs>
        <w:tab w:val="left" w:pos="5104"/>
      </w:tabs>
      <w:ind w:left="5104" w:hanging="1701"/>
    </w:pPr>
  </w:style>
  <w:style w:type="paragraph" w:customStyle="1" w:styleId="EMR-Fig-Title-ANum">
    <w:name w:val="EMR-Fig-Title-ANum"/>
    <w:basedOn w:val="EMR-Fig-Title-MNum"/>
    <w:uiPriority w:val="99"/>
  </w:style>
  <w:style w:type="paragraph" w:customStyle="1" w:styleId="EMR-Fig-Title-ANum-In-1">
    <w:name w:val="EMR-Fig-Title-ANum-In-1"/>
    <w:basedOn w:val="EMR-Fig-Title-MNum-In-1"/>
    <w:uiPriority w:val="99"/>
  </w:style>
  <w:style w:type="paragraph" w:customStyle="1" w:styleId="EMR-Fig-Title-ANum-In-2">
    <w:name w:val="EMR-Fig-Title-ANum-In-2"/>
    <w:basedOn w:val="EMR-Fig-Title-MNum-In-2"/>
    <w:uiPriority w:val="99"/>
  </w:style>
  <w:style w:type="paragraph" w:customStyle="1" w:styleId="EMR-Fig-Title-ANum-In-3">
    <w:name w:val="EMR-Fig-Title-ANum-In-3"/>
    <w:basedOn w:val="EMR-Fig-Title-MNum-In-3"/>
    <w:uiPriority w:val="99"/>
  </w:style>
  <w:style w:type="paragraph" w:customStyle="1" w:styleId="EMR-Fig-Title-ANum-In-4">
    <w:name w:val="EMR-Fig-Title-ANum-In-4"/>
    <w:basedOn w:val="EMR-Fig-Title-MNum-In-4"/>
    <w:uiPriority w:val="99"/>
  </w:style>
  <w:style w:type="paragraph" w:customStyle="1" w:styleId="EMR-Fig-Para">
    <w:name w:val="EMR-Fig-Para"/>
    <w:basedOn w:val="Base-EMR-RSR-Para"/>
    <w:uiPriority w:val="99"/>
  </w:style>
  <w:style w:type="paragraph" w:customStyle="1" w:styleId="EMR-Fig-Para-Centred">
    <w:name w:val="EMR-Fig-Para-Centred"/>
    <w:basedOn w:val="Base-EMR-RSR-Para"/>
    <w:uiPriority w:val="99"/>
    <w:pPr>
      <w:jc w:val="center"/>
    </w:pPr>
  </w:style>
  <w:style w:type="paragraph" w:customStyle="1" w:styleId="EMR-Fig-Para-Right">
    <w:name w:val="EMR-Fig-Para-Right"/>
    <w:basedOn w:val="Base-EMR-RSR-Para"/>
    <w:uiPriority w:val="99"/>
    <w:pPr>
      <w:jc w:val="right"/>
    </w:pPr>
  </w:style>
  <w:style w:type="paragraph" w:customStyle="1" w:styleId="EMR-Fig-Para-In-1">
    <w:name w:val="EMR-Fig-Para-In-1"/>
    <w:basedOn w:val="Base-EMR-RSR-Para"/>
    <w:uiPriority w:val="99"/>
    <w:pPr>
      <w:ind w:left="1701"/>
    </w:pPr>
  </w:style>
  <w:style w:type="paragraph" w:customStyle="1" w:styleId="EMR-Fig-Para-In-2">
    <w:name w:val="EMR-Fig-Para-In-2"/>
    <w:basedOn w:val="Base-EMR-RSR-Para"/>
    <w:uiPriority w:val="99"/>
    <w:pPr>
      <w:ind w:left="2268"/>
    </w:pPr>
  </w:style>
  <w:style w:type="paragraph" w:customStyle="1" w:styleId="EMR-Fig-Para-In-3">
    <w:name w:val="EMR-Fig-Para-In-3"/>
    <w:basedOn w:val="Base-EMR-RSR-Para"/>
    <w:uiPriority w:val="99"/>
    <w:pPr>
      <w:ind w:left="2835"/>
    </w:pPr>
  </w:style>
  <w:style w:type="paragraph" w:customStyle="1" w:styleId="EMR-Fig-Para-In-4">
    <w:name w:val="EMR-Fig-Para-In-4"/>
    <w:basedOn w:val="Base-EMR-RSR-Para"/>
    <w:uiPriority w:val="99"/>
    <w:pPr>
      <w:ind w:left="3402"/>
    </w:pPr>
  </w:style>
  <w:style w:type="paragraph" w:customStyle="1" w:styleId="Base-EMR-Table-Title">
    <w:name w:val="Base-EMR-Table-Title"/>
    <w:basedOn w:val="Base-EM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EMR-Table-Title-UNum-PgWide">
    <w:name w:val="EMR-Table-Title-UNum-PgWide"/>
    <w:basedOn w:val="Base-EMR-Table-Title"/>
    <w:uiPriority w:val="99"/>
    <w:pPr>
      <w:ind w:left="0"/>
    </w:pPr>
  </w:style>
  <w:style w:type="paragraph" w:customStyle="1" w:styleId="EMR-Table-Title-UNum-PgWide-in-List-1">
    <w:name w:val="EMR-Table-Title-UNum-PgWide-in-List-1"/>
    <w:basedOn w:val="EMR-Table-Title-UNum-PgWide"/>
    <w:uiPriority w:val="99"/>
  </w:style>
  <w:style w:type="paragraph" w:customStyle="1" w:styleId="EMR-Table-Title-UNum-PgWide-in-List-2">
    <w:name w:val="EMR-Table-Title-UNum-PgWide-in-List-2"/>
    <w:basedOn w:val="EMR-Table-Title-UNum-PgWide"/>
    <w:uiPriority w:val="99"/>
  </w:style>
  <w:style w:type="paragraph" w:customStyle="1" w:styleId="EMR-Table-Title-UNum-PgWide-in-List-3">
    <w:name w:val="EMR-Table-Title-UNum-PgWide-in-List-3"/>
    <w:basedOn w:val="EMR-Table-Title-UNum-PgWide"/>
    <w:uiPriority w:val="99"/>
  </w:style>
  <w:style w:type="paragraph" w:customStyle="1" w:styleId="EMR-Table-Title-UNum-PgWide-in-List-4">
    <w:name w:val="EMR-Table-Title-UNum-PgWide-in-List-4"/>
    <w:basedOn w:val="EMR-Table-Title-UNum-PgWide"/>
    <w:uiPriority w:val="99"/>
  </w:style>
  <w:style w:type="paragraph" w:customStyle="1" w:styleId="EMR-Table-Title-UNum">
    <w:name w:val="EMR-Table-Title-UNum"/>
    <w:basedOn w:val="Base-EMR-Table-Title"/>
    <w:uiPriority w:val="99"/>
  </w:style>
  <w:style w:type="paragraph" w:customStyle="1" w:styleId="EMR-Table-Title-UNum-In-1">
    <w:name w:val="EMR-Table-Title-UNum-In-1"/>
    <w:basedOn w:val="Base-EMR-Table-Title"/>
    <w:uiPriority w:val="99"/>
    <w:pPr>
      <w:ind w:left="1701"/>
    </w:pPr>
  </w:style>
  <w:style w:type="paragraph" w:customStyle="1" w:styleId="EMR-Table-Title-UNum-In-2">
    <w:name w:val="EMR-Table-Title-UNum-In-2"/>
    <w:basedOn w:val="Base-EMR-Table-Title"/>
    <w:uiPriority w:val="99"/>
    <w:pPr>
      <w:ind w:left="2268"/>
    </w:pPr>
  </w:style>
  <w:style w:type="paragraph" w:customStyle="1" w:styleId="EMR-Table-Title-UNum-In-3">
    <w:name w:val="EMR-Table-Title-UNum-In-3"/>
    <w:basedOn w:val="Base-EMR-Table-Title"/>
    <w:uiPriority w:val="99"/>
    <w:pPr>
      <w:ind w:left="2835"/>
    </w:pPr>
  </w:style>
  <w:style w:type="paragraph" w:customStyle="1" w:styleId="EMR-Table-Title-UNum-In-4">
    <w:name w:val="EMR-Table-Title-UNum-In-4"/>
    <w:basedOn w:val="Base-EMR-Table-Title"/>
    <w:uiPriority w:val="99"/>
    <w:pPr>
      <w:ind w:left="3402"/>
    </w:pPr>
  </w:style>
  <w:style w:type="paragraph" w:customStyle="1" w:styleId="EMR-Table-Title-MNum-PgWide">
    <w:name w:val="EMR-Table-Title-MNum-PgWide"/>
    <w:basedOn w:val="EMR-Table-Title-UNum-PgWide"/>
    <w:uiPriority w:val="99"/>
    <w:pPr>
      <w:tabs>
        <w:tab w:val="left" w:pos="1701"/>
      </w:tabs>
      <w:ind w:left="1701" w:hanging="1701"/>
    </w:pPr>
  </w:style>
  <w:style w:type="paragraph" w:customStyle="1" w:styleId="EMR-Table-Title-MNum-PgWide-in-List-1">
    <w:name w:val="EMR-Table-Title-MNum-PgWide-in-List-1"/>
    <w:basedOn w:val="EMR-Table-Title-MNum-PgWide"/>
    <w:uiPriority w:val="99"/>
  </w:style>
  <w:style w:type="paragraph" w:customStyle="1" w:styleId="EMR-Table-Title-MNum-PgWide-in-List-2">
    <w:name w:val="EMR-Table-Title-MNum-PgWide-in-List-2"/>
    <w:basedOn w:val="EMR-Table-Title-MNum-PgWide"/>
    <w:uiPriority w:val="99"/>
  </w:style>
  <w:style w:type="paragraph" w:customStyle="1" w:styleId="EMR-Table-Title-MNum-PgWide-in-List-3">
    <w:name w:val="EMR-Table-Title-MNum-PgWide-in-List-3"/>
    <w:basedOn w:val="EMR-Table-Title-MNum-PgWide"/>
    <w:uiPriority w:val="99"/>
  </w:style>
  <w:style w:type="paragraph" w:customStyle="1" w:styleId="EMR-Table-Title-MNum-PgWide-in-List-4">
    <w:name w:val="EMR-Table-Title-MNum-PgWide-in-List-4"/>
    <w:basedOn w:val="EMR-Table-Title-MNum-PgWide"/>
    <w:uiPriority w:val="99"/>
  </w:style>
  <w:style w:type="paragraph" w:customStyle="1" w:styleId="EMR-Table-Title-MNum">
    <w:name w:val="EMR-Table-Title-MNum"/>
    <w:basedOn w:val="Base-EMR-Table-Title"/>
    <w:uiPriority w:val="99"/>
    <w:pPr>
      <w:tabs>
        <w:tab w:val="left" w:pos="2835"/>
      </w:tabs>
      <w:ind w:left="2835" w:hanging="1701"/>
    </w:pPr>
  </w:style>
  <w:style w:type="paragraph" w:customStyle="1" w:styleId="EMR-Table-Title-MNum-In-1">
    <w:name w:val="EMR-Table-Title-MNum-In-1"/>
    <w:basedOn w:val="EMR-Table-Title-UNum-In-1"/>
    <w:uiPriority w:val="99"/>
    <w:pPr>
      <w:tabs>
        <w:tab w:val="left" w:pos="3402"/>
      </w:tabs>
      <w:ind w:left="3402" w:hanging="1701"/>
    </w:pPr>
  </w:style>
  <w:style w:type="paragraph" w:customStyle="1" w:styleId="EMR-Table-Title-MNum-In-2">
    <w:name w:val="EMR-Table-Title-MNum-In-2"/>
    <w:basedOn w:val="EMR-Table-Title-UNum-In-2"/>
    <w:uiPriority w:val="99"/>
    <w:pPr>
      <w:tabs>
        <w:tab w:val="left" w:pos="3969"/>
      </w:tabs>
      <w:ind w:left="3969" w:hanging="1701"/>
    </w:pPr>
  </w:style>
  <w:style w:type="paragraph" w:customStyle="1" w:styleId="EMR-Table-Title-MNum-In-3">
    <w:name w:val="EMR-Table-Title-MNum-In-3"/>
    <w:basedOn w:val="EMR-Table-Title-UNum-In-3"/>
    <w:uiPriority w:val="99"/>
    <w:pPr>
      <w:tabs>
        <w:tab w:val="left" w:pos="4537"/>
      </w:tabs>
      <w:ind w:left="4537" w:hanging="1701"/>
    </w:pPr>
  </w:style>
  <w:style w:type="paragraph" w:customStyle="1" w:styleId="EMR-Table-Title-MNum-In-4">
    <w:name w:val="EMR-Table-Title-MNum-In-4"/>
    <w:basedOn w:val="EMR-Table-Title-UNum-In-4"/>
    <w:uiPriority w:val="99"/>
    <w:pPr>
      <w:tabs>
        <w:tab w:val="left" w:pos="5104"/>
      </w:tabs>
      <w:ind w:left="5104" w:hanging="1701"/>
    </w:pPr>
  </w:style>
  <w:style w:type="paragraph" w:customStyle="1" w:styleId="EMR-Table-Title-ANum">
    <w:name w:val="EMR-Table-Title-ANum"/>
    <w:basedOn w:val="EMR-Table-Title-MNum"/>
    <w:uiPriority w:val="99"/>
  </w:style>
  <w:style w:type="paragraph" w:customStyle="1" w:styleId="EMR-Table-Title-ANum-In-1">
    <w:name w:val="EMR-Table-Title-ANum-In-1"/>
    <w:basedOn w:val="EMR-Table-Title-MNum-In-1"/>
    <w:uiPriority w:val="99"/>
  </w:style>
  <w:style w:type="paragraph" w:customStyle="1" w:styleId="EMR-Table-Title-ANum-In-2">
    <w:name w:val="EMR-Table-Title-ANum-In-2"/>
    <w:basedOn w:val="EMR-Table-Title-MNum-In-2"/>
    <w:uiPriority w:val="99"/>
  </w:style>
  <w:style w:type="paragraph" w:customStyle="1" w:styleId="EMR-Table-Title-ANum-In-3">
    <w:name w:val="EMR-Table-Title-ANum-In-3"/>
    <w:basedOn w:val="EMR-Table-Title-MNum-In-3"/>
    <w:uiPriority w:val="99"/>
  </w:style>
  <w:style w:type="paragraph" w:customStyle="1" w:styleId="EMR-Table-Title-ANum-In-4">
    <w:name w:val="EMR-Table-Title-ANum-In-4"/>
    <w:basedOn w:val="EMR-Table-Title-MNum-In-4"/>
    <w:uiPriority w:val="99"/>
  </w:style>
  <w:style w:type="paragraph" w:customStyle="1" w:styleId="EMR-RSR-Table-Inclusion-Par">
    <w:name w:val="EMR-RSR-Table-Inclusion-Par"/>
    <w:basedOn w:val="Base-EMR-RSR-Para"/>
    <w:uiPriority w:val="99"/>
  </w:style>
  <w:style w:type="paragraph" w:customStyle="1" w:styleId="Base-EMR-Table-Para">
    <w:name w:val="Base-EMR-Table-Para"/>
    <w:basedOn w:val="Base-EMR-Para"/>
    <w:uiPriority w:val="99"/>
    <w:pPr>
      <w:jc w:val="left"/>
    </w:pPr>
  </w:style>
  <w:style w:type="paragraph" w:customStyle="1" w:styleId="EMR-Table-Para">
    <w:name w:val="EMR-Table-Para"/>
    <w:basedOn w:val="Base-EMR-Table-Para"/>
    <w:uiPriority w:val="99"/>
  </w:style>
  <w:style w:type="paragraph" w:customStyle="1" w:styleId="EMR-Table-Para-Centred">
    <w:name w:val="EMR-Table-Para-Centred"/>
    <w:basedOn w:val="Base-EMR-Table-Para"/>
    <w:uiPriority w:val="99"/>
    <w:pPr>
      <w:jc w:val="center"/>
    </w:pPr>
  </w:style>
  <w:style w:type="paragraph" w:customStyle="1" w:styleId="EMR-Table-Para-Right">
    <w:name w:val="EMR-Table-Para-Right"/>
    <w:basedOn w:val="Base-EMR-Table-Para"/>
    <w:uiPriority w:val="99"/>
    <w:pPr>
      <w:jc w:val="right"/>
    </w:pPr>
  </w:style>
  <w:style w:type="paragraph" w:customStyle="1" w:styleId="EMR-Table-Para-In-1">
    <w:name w:val="EMR-Table-Para-In-1"/>
    <w:basedOn w:val="Base-EMR-Table-Para"/>
    <w:uiPriority w:val="99"/>
    <w:pPr>
      <w:ind w:left="567"/>
    </w:pPr>
  </w:style>
  <w:style w:type="paragraph" w:customStyle="1" w:styleId="EMR-Table-Para-In-2">
    <w:name w:val="EMR-Table-Para-In-2"/>
    <w:basedOn w:val="Base-EMR-Table-Para"/>
    <w:uiPriority w:val="99"/>
    <w:pPr>
      <w:ind w:left="1134"/>
    </w:pPr>
  </w:style>
  <w:style w:type="paragraph" w:customStyle="1" w:styleId="EMR-Table-Para-In-3">
    <w:name w:val="EMR-Table-Para-In-3"/>
    <w:basedOn w:val="Base-EMR-Table-Para"/>
    <w:uiPriority w:val="99"/>
    <w:pPr>
      <w:ind w:left="1701"/>
    </w:pPr>
  </w:style>
  <w:style w:type="paragraph" w:customStyle="1" w:styleId="EMR-Table-Para-In-4">
    <w:name w:val="EMR-Table-Para-In-4"/>
    <w:basedOn w:val="Base-EMR-Table-Para"/>
    <w:uiPriority w:val="99"/>
    <w:pPr>
      <w:ind w:left="2268"/>
    </w:pPr>
  </w:style>
  <w:style w:type="paragraph" w:customStyle="1" w:styleId="EMR-Table-Text">
    <w:name w:val="EMR-Table-Text"/>
    <w:basedOn w:val="Base-EMR-Table-Para"/>
    <w:uiPriority w:val="99"/>
  </w:style>
  <w:style w:type="paragraph" w:customStyle="1" w:styleId="EMR-Table-Text-In-1">
    <w:name w:val="EMR-Table-Text-In-1"/>
    <w:basedOn w:val="EMR-Table-Para-In-1"/>
    <w:uiPriority w:val="99"/>
  </w:style>
  <w:style w:type="paragraph" w:customStyle="1" w:styleId="EMR-Table-Text-In-2">
    <w:name w:val="EMR-Table-Text-In-2"/>
    <w:basedOn w:val="EMR-Table-Para-In-2"/>
    <w:uiPriority w:val="99"/>
  </w:style>
  <w:style w:type="paragraph" w:customStyle="1" w:styleId="EMR-Table-Text-In-3">
    <w:name w:val="EMR-Table-Text-In-3"/>
    <w:basedOn w:val="EMR-Table-Para-In-3"/>
    <w:uiPriority w:val="99"/>
  </w:style>
  <w:style w:type="paragraph" w:customStyle="1" w:styleId="EMR-Table-Col-Head">
    <w:name w:val="EMR-Table-Col-Head"/>
    <w:basedOn w:val="Base-EMR-Title"/>
    <w:uiPriority w:val="99"/>
    <w:pPr>
      <w:spacing w:before="120"/>
    </w:pPr>
  </w:style>
  <w:style w:type="paragraph" w:customStyle="1" w:styleId="EMR-Table-Col-Head-Centred">
    <w:name w:val="EMR-Table-Col-Head-Centred"/>
    <w:basedOn w:val="Base-EMR-Title"/>
    <w:uiPriority w:val="99"/>
    <w:pPr>
      <w:spacing w:before="120"/>
      <w:jc w:val="center"/>
    </w:pPr>
  </w:style>
  <w:style w:type="paragraph" w:customStyle="1" w:styleId="EMR-Table-Col-Head-Right">
    <w:name w:val="EMR-Table-Col-Head-Right"/>
    <w:basedOn w:val="Base-EMR-Title"/>
    <w:uiPriority w:val="99"/>
    <w:pPr>
      <w:spacing w:before="120"/>
      <w:jc w:val="right"/>
    </w:pPr>
  </w:style>
  <w:style w:type="paragraph" w:customStyle="1" w:styleId="EMR-Table-List-1-UNum">
    <w:name w:val="EMR-Table-List-1-UNum"/>
    <w:basedOn w:val="Base-EMR-Table-Para"/>
    <w:uiPriority w:val="99"/>
  </w:style>
  <w:style w:type="paragraph" w:customStyle="1" w:styleId="EMR-Table-List-2-UNum">
    <w:name w:val="EMR-Table-List-2-UNum"/>
    <w:basedOn w:val="Base-EMR-Table-Para"/>
    <w:uiPriority w:val="99"/>
    <w:pPr>
      <w:ind w:left="567"/>
    </w:pPr>
  </w:style>
  <w:style w:type="paragraph" w:customStyle="1" w:styleId="EMR-Table-List-3-UNum">
    <w:name w:val="EMR-Table-List-3-UNum"/>
    <w:basedOn w:val="Base-EMR-Table-Para"/>
    <w:uiPriority w:val="99"/>
    <w:pPr>
      <w:ind w:left="1134"/>
    </w:pPr>
  </w:style>
  <w:style w:type="paragraph" w:customStyle="1" w:styleId="EMR-Table-List-1-MNum">
    <w:name w:val="EMR-Table-List-1-MNum"/>
    <w:basedOn w:val="EMR-Table-List-1-UNum"/>
    <w:uiPriority w:val="99"/>
    <w:pPr>
      <w:tabs>
        <w:tab w:val="left" w:pos="567"/>
      </w:tabs>
      <w:ind w:left="567" w:hanging="567"/>
    </w:pPr>
  </w:style>
  <w:style w:type="paragraph" w:customStyle="1" w:styleId="EMR-Table-List-2-MNum">
    <w:name w:val="EMR-Table-List-2-MNum"/>
    <w:basedOn w:val="EMR-Table-List-2-UNum"/>
    <w:uiPriority w:val="99"/>
    <w:pPr>
      <w:tabs>
        <w:tab w:val="left" w:pos="1134"/>
      </w:tabs>
      <w:ind w:left="1134" w:hanging="567"/>
    </w:pPr>
  </w:style>
  <w:style w:type="paragraph" w:customStyle="1" w:styleId="EMR-Table-List-3-MNum">
    <w:name w:val="EMR-Table-List-3-MNum"/>
    <w:basedOn w:val="EMR-Table-List-3-UNum"/>
    <w:uiPriority w:val="99"/>
    <w:pPr>
      <w:tabs>
        <w:tab w:val="left" w:pos="1701"/>
      </w:tabs>
      <w:ind w:left="1701" w:hanging="567"/>
    </w:pPr>
  </w:style>
  <w:style w:type="paragraph" w:customStyle="1" w:styleId="EMR-Table-List-1-item-title-UnNum">
    <w:name w:val="EMR-Table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Table-List-1-item-title-MNum">
    <w:name w:val="EMR-Table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Cl-Title-UNum">
    <w:name w:val="NER-Cl-Title-UNum"/>
    <w:basedOn w:val="Base-NER-Num-Outline-Title-Indent"/>
    <w:uiPriority w:val="99"/>
    <w:pPr>
      <w:tabs>
        <w:tab w:val="clear" w:pos="1134"/>
      </w:tabs>
      <w:spacing w:before="240" w:after="60"/>
      <w:ind w:firstLine="0"/>
    </w:pPr>
  </w:style>
  <w:style w:type="paragraph" w:customStyle="1" w:styleId="EMR-Subrule-ANum">
    <w:name w:val="EMR-Subrule-ANum"/>
    <w:basedOn w:val="EMR-Subrule"/>
    <w:uiPriority w:val="99"/>
  </w:style>
  <w:style w:type="paragraph" w:customStyle="1" w:styleId="EMR-Rule-Title">
    <w:name w:val="EMR-Rule-Title"/>
    <w:basedOn w:val="Base-EMR-Rule-Title"/>
    <w:uiPriority w:val="99"/>
    <w:pPr>
      <w:ind w:left="0" w:firstLine="0"/>
    </w:pPr>
  </w:style>
  <w:style w:type="paragraph" w:customStyle="1" w:styleId="EMR-Explain-Para-In-4">
    <w:name w:val="EMR-Explain-Para-In-4"/>
    <w:basedOn w:val="Base-EMR-Explain-Para"/>
    <w:uiPriority w:val="99"/>
    <w:pPr>
      <w:ind w:left="3402"/>
    </w:pPr>
  </w:style>
  <w:style w:type="paragraph" w:customStyle="1" w:styleId="Box-List-1-Bull">
    <w:name w:val="Box-List-1-Bull"/>
    <w:basedOn w:val="Box-List-1-MNum"/>
    <w:uiPriority w:val="99"/>
  </w:style>
  <w:style w:type="paragraph" w:customStyle="1" w:styleId="NER-Table-Col-Head-Right">
    <w:name w:val="NER-Table-Col-Head-Right"/>
    <w:basedOn w:val="Base-NER-Title"/>
    <w:uiPriority w:val="99"/>
    <w:pPr>
      <w:spacing w:before="120"/>
      <w:jc w:val="right"/>
    </w:pPr>
  </w:style>
  <w:style w:type="paragraph" w:customStyle="1" w:styleId="Base-Am-NER-Table-Title">
    <w:name w:val="Base-Am-NER-Table-Title"/>
    <w:basedOn w:val="Base-Am-NER-Title"/>
    <w:uiPriority w:val="99"/>
    <w:pPr>
      <w:spacing w:before="120" w:after="60"/>
    </w:pPr>
    <w:rPr>
      <w:sz w:val="22"/>
      <w:szCs w:val="22"/>
    </w:rPr>
  </w:style>
  <w:style w:type="paragraph" w:customStyle="1" w:styleId="Am-NER-Table-Title-UNum">
    <w:name w:val="Am-NER-Table-Title-UNum"/>
    <w:basedOn w:val="Base-Am-NER-Table-Title"/>
    <w:uiPriority w:val="99"/>
  </w:style>
  <w:style w:type="paragraph" w:customStyle="1" w:styleId="Am-NER-Table-Title-MNum">
    <w:name w:val="Am-NER-Table-Title-MNum"/>
    <w:basedOn w:val="Base-Am-NER-Table-Title"/>
    <w:uiPriority w:val="99"/>
    <w:pPr>
      <w:tabs>
        <w:tab w:val="left" w:pos="1418"/>
      </w:tabs>
      <w:ind w:left="1418" w:hanging="1418"/>
    </w:pPr>
  </w:style>
  <w:style w:type="paragraph" w:customStyle="1" w:styleId="Base-Am-NER-Table-Para">
    <w:name w:val="Base-Am-NER-Table-Para"/>
    <w:basedOn w:val="Base-Am-NER-Para"/>
    <w:uiPriority w:val="99"/>
  </w:style>
  <w:style w:type="paragraph" w:customStyle="1" w:styleId="Am-NER-Table-Para">
    <w:name w:val="Am-NER-Table-Para"/>
    <w:basedOn w:val="Base-Am-NER-Table-Para"/>
    <w:uiPriority w:val="99"/>
  </w:style>
  <w:style w:type="paragraph" w:customStyle="1" w:styleId="Am-NER-Table-Para-Centred">
    <w:name w:val="Am-NER-Table-Para-Centred"/>
    <w:basedOn w:val="Base-Am-NER-Table-Para"/>
    <w:uiPriority w:val="99"/>
  </w:style>
  <w:style w:type="paragraph" w:customStyle="1" w:styleId="Am-NER-Table-Para-Right">
    <w:name w:val="Am-NER-Table-Para-Right"/>
    <w:basedOn w:val="Base-Am-NER-Table-Para"/>
    <w:uiPriority w:val="99"/>
  </w:style>
  <w:style w:type="paragraph" w:customStyle="1" w:styleId="Am-NER-Table-Para-In-1">
    <w:name w:val="Am-NER-Table-Para-In-1"/>
    <w:basedOn w:val="Base-Am-NER-Table-Para"/>
    <w:uiPriority w:val="99"/>
    <w:pPr>
      <w:ind w:left="567"/>
    </w:pPr>
  </w:style>
  <w:style w:type="paragraph" w:customStyle="1" w:styleId="Am-NER-Table-Para-In-2">
    <w:name w:val="Am-NER-Table-Para-In-2"/>
    <w:basedOn w:val="Base-Am-NER-Table-Para"/>
    <w:uiPriority w:val="99"/>
    <w:pPr>
      <w:ind w:left="1134"/>
    </w:pPr>
  </w:style>
  <w:style w:type="paragraph" w:customStyle="1" w:styleId="Am-NER-Table-Para-In-3">
    <w:name w:val="Am-NER-Table-Para-In-3"/>
    <w:basedOn w:val="Base-Am-NER-Table-Para"/>
    <w:uiPriority w:val="99"/>
    <w:pPr>
      <w:ind w:left="1701"/>
    </w:pPr>
  </w:style>
  <w:style w:type="paragraph" w:customStyle="1" w:styleId="Am-NER-Table-Text">
    <w:name w:val="Am-NER-Table-Text"/>
    <w:basedOn w:val="Base-Am-NER-Table-Para"/>
    <w:uiPriority w:val="99"/>
  </w:style>
  <w:style w:type="paragraph" w:customStyle="1" w:styleId="Am-NER-Table-Col-Head">
    <w:name w:val="Am-NER-Table-Col-Head"/>
    <w:basedOn w:val="Base-Am-NER-Title"/>
    <w:uiPriority w:val="99"/>
    <w:pPr>
      <w:spacing w:before="120"/>
    </w:pPr>
    <w:rPr>
      <w:sz w:val="24"/>
      <w:szCs w:val="24"/>
    </w:rPr>
  </w:style>
  <w:style w:type="paragraph" w:customStyle="1" w:styleId="Am-NER-Table-Col-Head-Centred">
    <w:name w:val="Am-NER-Table-Col-Head-Centred"/>
    <w:basedOn w:val="Base-Am-NE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NER-Table-Col-Head-Right">
    <w:name w:val="Am-NER-Table-Col-Head-Right"/>
    <w:basedOn w:val="Base-Am-NE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NER-Table-List-1-UNum">
    <w:name w:val="Am-NER-Table-List-1-UNum"/>
    <w:basedOn w:val="Base-Am-NER-Table-Para"/>
    <w:uiPriority w:val="99"/>
  </w:style>
  <w:style w:type="paragraph" w:customStyle="1" w:styleId="Am-NER-Table-List-2-UNum">
    <w:name w:val="Am-NER-Table-List-2-UNum"/>
    <w:basedOn w:val="Base-Am-NER-Table-Para"/>
    <w:uiPriority w:val="99"/>
    <w:pPr>
      <w:ind w:left="567"/>
    </w:pPr>
  </w:style>
  <w:style w:type="paragraph" w:customStyle="1" w:styleId="Am-NER-Table-List-3-UNum">
    <w:name w:val="Am-NER-Table-List-3-UNum"/>
    <w:basedOn w:val="Base-Am-NER-Table-Para"/>
    <w:uiPriority w:val="99"/>
    <w:pPr>
      <w:ind w:left="1134"/>
    </w:pPr>
  </w:style>
  <w:style w:type="paragraph" w:customStyle="1" w:styleId="Am-NER-Table-List-1-MNum">
    <w:name w:val="Am-NER-Table-List-1-MNum"/>
    <w:basedOn w:val="Am-NER-Table-List-1-UNum"/>
    <w:uiPriority w:val="99"/>
    <w:pPr>
      <w:tabs>
        <w:tab w:val="left" w:pos="567"/>
      </w:tabs>
      <w:ind w:left="567" w:hanging="567"/>
    </w:pPr>
  </w:style>
  <w:style w:type="paragraph" w:customStyle="1" w:styleId="Am-NER-Table-List-2-MNum">
    <w:name w:val="Am-NER-Table-List-2-MNum"/>
    <w:basedOn w:val="Am-NER-Table-List-2-UNum"/>
    <w:uiPriority w:val="99"/>
    <w:pPr>
      <w:tabs>
        <w:tab w:val="left" w:pos="1134"/>
      </w:tabs>
      <w:ind w:left="1134" w:hanging="567"/>
    </w:pPr>
  </w:style>
  <w:style w:type="paragraph" w:customStyle="1" w:styleId="Am-NER-Table-List-3-MNum">
    <w:name w:val="Am-NER-Table-List-3-MNum"/>
    <w:basedOn w:val="Am-NE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List-1-item-title-UnNum">
    <w:name w:val="Am-NER-Table-List-1-item-title-UnNum"/>
    <w:basedOn w:val="Base-Am-NER-Title"/>
    <w:uiPriority w:val="99"/>
    <w:pPr>
      <w:spacing w:before="120"/>
    </w:pPr>
    <w:rPr>
      <w:sz w:val="22"/>
      <w:szCs w:val="22"/>
    </w:rPr>
  </w:style>
  <w:style w:type="paragraph" w:customStyle="1" w:styleId="Am-NER-Table-List-1-item-title-MNum">
    <w:name w:val="Am-NER-Table-List-1-item-title-MNum"/>
    <w:basedOn w:val="Am-NER-Table-List-1-item-title-UnNum"/>
    <w:uiPriority w:val="99"/>
    <w:pPr>
      <w:tabs>
        <w:tab w:val="left" w:pos="567"/>
      </w:tabs>
      <w:ind w:left="567" w:hanging="567"/>
    </w:pPr>
  </w:style>
  <w:style w:type="paragraph" w:customStyle="1" w:styleId="Base-Am-EMR-Table-Title">
    <w:name w:val="Base-Am-EMR-Table-Title"/>
    <w:basedOn w:val="Base-Am-EMR-Title"/>
    <w:uiPriority w:val="99"/>
    <w:pPr>
      <w:spacing w:before="120" w:after="60"/>
    </w:pPr>
    <w:rPr>
      <w:sz w:val="22"/>
      <w:szCs w:val="22"/>
    </w:rPr>
  </w:style>
  <w:style w:type="paragraph" w:customStyle="1" w:styleId="Am-EMR-Table-Anchor">
    <w:name w:val="Am-EM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EMR-Table-Anchor-After">
    <w:name w:val="Am-EMR-Table-Anchor-After"/>
    <w:basedOn w:val="Am-EMR-Table-Anchor"/>
    <w:uiPriority w:val="99"/>
    <w:pPr>
      <w:keepNext w:val="0"/>
      <w:keepLines w:val="0"/>
      <w:spacing w:after="180"/>
    </w:pPr>
  </w:style>
  <w:style w:type="paragraph" w:customStyle="1" w:styleId="Am-EMR-Table-Title-UNum">
    <w:name w:val="Am-EMR-Table-Title-UNum"/>
    <w:basedOn w:val="Base-Am-EMR-Table-Title"/>
    <w:uiPriority w:val="99"/>
  </w:style>
  <w:style w:type="paragraph" w:customStyle="1" w:styleId="Am-EMR-Table-Title-MNum">
    <w:name w:val="Am-EMR-Table-Title-MNum"/>
    <w:basedOn w:val="Base-Am-EMR-Table-Title"/>
    <w:uiPriority w:val="99"/>
    <w:pPr>
      <w:tabs>
        <w:tab w:val="left" w:pos="1418"/>
      </w:tabs>
      <w:ind w:left="1418" w:hanging="1418"/>
    </w:pPr>
  </w:style>
  <w:style w:type="paragraph" w:customStyle="1" w:styleId="Base-Am-EMR-Table-Para">
    <w:name w:val="Base-Am-EMR-Table-Para"/>
    <w:basedOn w:val="Base-Am-EMR-Para"/>
    <w:uiPriority w:val="99"/>
  </w:style>
  <w:style w:type="paragraph" w:customStyle="1" w:styleId="Am-EMR-Table-Para">
    <w:name w:val="Am-EMR-Table-Para"/>
    <w:basedOn w:val="Base-Am-EMR-Table-Para"/>
    <w:uiPriority w:val="99"/>
  </w:style>
  <w:style w:type="paragraph" w:customStyle="1" w:styleId="Am-EMR-Table-Para-Centred">
    <w:name w:val="Am-EMR-Table-Para-Centred"/>
    <w:basedOn w:val="Base-Am-EMR-Table-Para"/>
    <w:uiPriority w:val="99"/>
    <w:pPr>
      <w:jc w:val="center"/>
    </w:pPr>
  </w:style>
  <w:style w:type="paragraph" w:customStyle="1" w:styleId="Am-EMR-Table-Para-Right">
    <w:name w:val="Am-EMR-Table-Para-Right"/>
    <w:basedOn w:val="Base-Am-EMR-Table-Para"/>
    <w:uiPriority w:val="99"/>
    <w:pPr>
      <w:jc w:val="right"/>
    </w:pPr>
  </w:style>
  <w:style w:type="paragraph" w:customStyle="1" w:styleId="Am-EMR-Table-Para-In-1">
    <w:name w:val="Am-EMR-Table-Para-In-1"/>
    <w:basedOn w:val="Base-Am-EMR-Table-Para"/>
    <w:uiPriority w:val="99"/>
    <w:pPr>
      <w:ind w:left="567"/>
    </w:pPr>
  </w:style>
  <w:style w:type="paragraph" w:customStyle="1" w:styleId="Am-EMR-Table-Para-In-2">
    <w:name w:val="Am-EMR-Table-Para-In-2"/>
    <w:basedOn w:val="Base-Am-EMR-Table-Para"/>
    <w:uiPriority w:val="99"/>
    <w:pPr>
      <w:ind w:left="1134"/>
    </w:pPr>
  </w:style>
  <w:style w:type="paragraph" w:customStyle="1" w:styleId="Am-EMR-Table-Para-In-3">
    <w:name w:val="Am-EMR-Table-Para-In-3"/>
    <w:basedOn w:val="Base-Am-EMR-Table-Para"/>
    <w:uiPriority w:val="99"/>
    <w:pPr>
      <w:ind w:left="1701"/>
    </w:pPr>
  </w:style>
  <w:style w:type="paragraph" w:customStyle="1" w:styleId="Am-EMR-Table-Text">
    <w:name w:val="Am-EMR-Table-Text"/>
    <w:basedOn w:val="Base-Am-EMR-Table-Para"/>
    <w:uiPriority w:val="99"/>
  </w:style>
  <w:style w:type="paragraph" w:customStyle="1" w:styleId="Am-EMR-Table-Col-Head">
    <w:name w:val="Am-EMR-Table-Col-Head"/>
    <w:basedOn w:val="Base-Am-EMR-Title"/>
    <w:uiPriority w:val="99"/>
    <w:pPr>
      <w:spacing w:before="120"/>
    </w:pPr>
    <w:rPr>
      <w:sz w:val="24"/>
      <w:szCs w:val="24"/>
    </w:rPr>
  </w:style>
  <w:style w:type="paragraph" w:customStyle="1" w:styleId="Am-EMR-Table-Col-Head-Centred">
    <w:name w:val="Am-EMR-Table-Col-Head-Centred"/>
    <w:basedOn w:val="Base-Am-EM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EMR-Table-Col-Head-Right">
    <w:name w:val="Am-EMR-Table-Col-Head-Right"/>
    <w:basedOn w:val="Base-Am-EM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EMR-Table-List-1-UNum">
    <w:name w:val="Am-EMR-Table-List-1-UNum"/>
    <w:basedOn w:val="Base-Am-EMR-Table-Para"/>
    <w:uiPriority w:val="99"/>
  </w:style>
  <w:style w:type="paragraph" w:customStyle="1" w:styleId="Am-EMR-Table-List-2-UNum">
    <w:name w:val="Am-EMR-Table-List-2-UNum"/>
    <w:basedOn w:val="Base-Am-EMR-Table-Para"/>
    <w:uiPriority w:val="99"/>
    <w:pPr>
      <w:ind w:left="567"/>
    </w:pPr>
  </w:style>
  <w:style w:type="paragraph" w:customStyle="1" w:styleId="Am-EMR-Table-List-3-UNum">
    <w:name w:val="Am-EMR-Table-List-3-UNum"/>
    <w:basedOn w:val="Base-Am-EMR-Table-Para"/>
    <w:uiPriority w:val="99"/>
    <w:pPr>
      <w:ind w:left="1134"/>
    </w:pPr>
  </w:style>
  <w:style w:type="paragraph" w:customStyle="1" w:styleId="Am-EMR-Table-List-1-MNum">
    <w:name w:val="Am-EMR-Table-List-1-MNum"/>
    <w:basedOn w:val="Am-EMR-Table-List-1-UNum"/>
    <w:uiPriority w:val="99"/>
    <w:pPr>
      <w:tabs>
        <w:tab w:val="left" w:pos="567"/>
      </w:tabs>
      <w:ind w:left="567" w:hanging="567"/>
    </w:pPr>
  </w:style>
  <w:style w:type="paragraph" w:customStyle="1" w:styleId="Am-EMR-Table-List-2-MNum">
    <w:name w:val="Am-EMR-Table-List-2-MNum"/>
    <w:basedOn w:val="Am-EMR-Table-List-2-UNum"/>
    <w:uiPriority w:val="99"/>
    <w:pPr>
      <w:tabs>
        <w:tab w:val="left" w:pos="1134"/>
      </w:tabs>
      <w:ind w:left="1134" w:hanging="567"/>
    </w:pPr>
  </w:style>
  <w:style w:type="paragraph" w:customStyle="1" w:styleId="Am-EMR-Table-List-3-MNum">
    <w:name w:val="Am-EMR-Table-List-3-MNum"/>
    <w:basedOn w:val="Am-EM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Anchor">
    <w:name w:val="Am-NE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NER-Table-Anchor-After">
    <w:name w:val="Am-NER-Table-Anchor-After"/>
    <w:basedOn w:val="Am-NER-Table-Anchor"/>
    <w:uiPriority w:val="99"/>
    <w:pPr>
      <w:keepNext w:val="0"/>
      <w:keepLines w:val="0"/>
      <w:spacing w:after="180"/>
    </w:pPr>
  </w:style>
  <w:style w:type="paragraph" w:customStyle="1" w:styleId="Table-List-1-Bull">
    <w:name w:val="Table-List-1-Bull"/>
    <w:basedOn w:val="Table-List-1-MNum"/>
    <w:uiPriority w:val="99"/>
  </w:style>
  <w:style w:type="paragraph" w:customStyle="1" w:styleId="Table-List-2-Bull">
    <w:name w:val="Table-List-2-Bull"/>
    <w:basedOn w:val="Table-List-2-MNum"/>
    <w:uiPriority w:val="99"/>
  </w:style>
  <w:style w:type="paragraph" w:customStyle="1" w:styleId="Table-List-3-Bull">
    <w:name w:val="Table-List-3-Bull"/>
    <w:basedOn w:val="Table-List-3-MNum"/>
    <w:uiPriority w:val="99"/>
  </w:style>
  <w:style w:type="paragraph" w:customStyle="1" w:styleId="Table-List-1-ANum">
    <w:name w:val="Table-List-1-ANum"/>
    <w:basedOn w:val="Table-List-1-MNum"/>
    <w:uiPriority w:val="99"/>
  </w:style>
  <w:style w:type="paragraph" w:customStyle="1" w:styleId="Table-List-2-ANum">
    <w:name w:val="Table-List-2-ANum"/>
    <w:basedOn w:val="Table-List-2-MNum"/>
    <w:uiPriority w:val="99"/>
  </w:style>
  <w:style w:type="paragraph" w:customStyle="1" w:styleId="Table-List-3-ANum">
    <w:name w:val="Table-List-3-ANum"/>
    <w:basedOn w:val="Table-List-3-MNum"/>
    <w:uiPriority w:val="99"/>
  </w:style>
  <w:style w:type="paragraph" w:customStyle="1" w:styleId="NER-Table-List-1-MNum">
    <w:name w:val="NER-Table-List-1-MNum"/>
    <w:basedOn w:val="NER-Table-List-1-UNum"/>
    <w:uiPriority w:val="99"/>
    <w:pPr>
      <w:tabs>
        <w:tab w:val="left" w:pos="567"/>
      </w:tabs>
      <w:ind w:left="567" w:hanging="567"/>
    </w:pPr>
  </w:style>
  <w:style w:type="paragraph" w:customStyle="1" w:styleId="NER-Table-List-2-MNum">
    <w:name w:val="NER-Table-List-2-MNum"/>
    <w:basedOn w:val="NER-Table-List-2-UNum"/>
    <w:uiPriority w:val="99"/>
    <w:pPr>
      <w:tabs>
        <w:tab w:val="left" w:pos="1134"/>
      </w:tabs>
      <w:ind w:left="1134" w:hanging="567"/>
    </w:pPr>
  </w:style>
  <w:style w:type="paragraph" w:customStyle="1" w:styleId="NER-Table-List-3-MNum">
    <w:name w:val="NER-Table-List-3-MNum"/>
    <w:basedOn w:val="NER-Table-List-3-UNum"/>
    <w:uiPriority w:val="99"/>
    <w:pPr>
      <w:tabs>
        <w:tab w:val="left" w:pos="1701"/>
      </w:tabs>
      <w:ind w:left="1701" w:hanging="567"/>
    </w:pPr>
  </w:style>
  <w:style w:type="paragraph" w:customStyle="1" w:styleId="Head-1-box-item">
    <w:name w:val="Head-1-box-item"/>
    <w:basedOn w:val="Head-1-inclusion-item"/>
    <w:uiPriority w:val="99"/>
  </w:style>
  <w:style w:type="paragraph" w:customStyle="1" w:styleId="Head-2-box-item">
    <w:name w:val="Head-2-box-item"/>
    <w:basedOn w:val="Head-2-inclusion-item"/>
    <w:uiPriority w:val="99"/>
  </w:style>
  <w:style w:type="paragraph" w:customStyle="1" w:styleId="Head-3-box-item">
    <w:name w:val="Head-3-box-item"/>
    <w:basedOn w:val="Head-3-inclusion-item"/>
    <w:uiPriority w:val="99"/>
  </w:style>
  <w:style w:type="paragraph" w:customStyle="1" w:styleId="Head-1-box-item-MNum">
    <w:name w:val="Head-1-box-item-MNum"/>
    <w:basedOn w:val="Head-1-inclusion-item-MNum"/>
    <w:uiPriority w:val="99"/>
  </w:style>
  <w:style w:type="paragraph" w:customStyle="1" w:styleId="Head-2-box-item-MNum">
    <w:name w:val="Head-2-box-item-MNum"/>
    <w:basedOn w:val="Head-2-inclusion-item-MNum"/>
    <w:uiPriority w:val="99"/>
  </w:style>
  <w:style w:type="paragraph" w:customStyle="1" w:styleId="Head-3-box-item-MNum">
    <w:name w:val="Head-3-box-item-MNum"/>
    <w:basedOn w:val="Head-3-inclusion-item-MNum"/>
    <w:uiPriority w:val="99"/>
  </w:style>
  <w:style w:type="paragraph" w:customStyle="1" w:styleId="Head-1-box-item-ANum">
    <w:name w:val="Head-1-box-item-ANum"/>
    <w:basedOn w:val="Head-1-box-item-MNum"/>
    <w:uiPriority w:val="99"/>
  </w:style>
  <w:style w:type="paragraph" w:customStyle="1" w:styleId="Head-2-box-item-ANum">
    <w:name w:val="Head-2-box-item-ANum"/>
    <w:basedOn w:val="Head-2-box-item-MNum"/>
    <w:uiPriority w:val="99"/>
  </w:style>
  <w:style w:type="paragraph" w:customStyle="1" w:styleId="Head-3-box-item-ANum">
    <w:name w:val="Head-3-box-item-ANum"/>
    <w:basedOn w:val="Head-3-box-item-MNum"/>
    <w:uiPriority w:val="99"/>
  </w:style>
  <w:style w:type="paragraph" w:customStyle="1" w:styleId="EMR-RSR-Text">
    <w:name w:val="EMR-RSR-Text"/>
    <w:basedOn w:val="Base-EMR-RSR-Para"/>
    <w:uiPriority w:val="99"/>
  </w:style>
  <w:style w:type="paragraph" w:customStyle="1" w:styleId="EMR-RSR-Text-In-1">
    <w:name w:val="EMR-RSR-Text-In-1"/>
    <w:basedOn w:val="EMR-RSR-Para-In-1"/>
    <w:uiPriority w:val="99"/>
  </w:style>
  <w:style w:type="paragraph" w:customStyle="1" w:styleId="EMR-RSR-Text-In-2">
    <w:name w:val="EMR-RSR-Text-In-2"/>
    <w:basedOn w:val="EMR-RSR-Para-In-2"/>
    <w:uiPriority w:val="99"/>
  </w:style>
  <w:style w:type="paragraph" w:customStyle="1" w:styleId="EMR-RSR-Text-In-3">
    <w:name w:val="EMR-RSR-Text-In-3"/>
    <w:basedOn w:val="EMR-RSR-Para-In-3"/>
    <w:uiPriority w:val="99"/>
  </w:style>
  <w:style w:type="paragraph" w:customStyle="1" w:styleId="EMR-RSR-Text-In-4">
    <w:name w:val="EMR-RSR-Text-In-4"/>
    <w:basedOn w:val="EMR-RSR-Para-In-4"/>
    <w:uiPriority w:val="99"/>
  </w:style>
  <w:style w:type="paragraph" w:customStyle="1" w:styleId="EMR-RSR-Text-new-line-only">
    <w:name w:val="EMR-RSR-Text-new-line-only"/>
    <w:basedOn w:val="Base-EMR-RSR-Para"/>
    <w:uiPriority w:val="99"/>
    <w:pPr>
      <w:spacing w:before="0" w:after="0"/>
    </w:pPr>
  </w:style>
  <w:style w:type="paragraph" w:customStyle="1" w:styleId="NER-RC-Text-new-line-only">
    <w:name w:val="NER-RC-Text-new-line-only"/>
    <w:basedOn w:val="Base-NER-RC-Para"/>
    <w:uiPriority w:val="99"/>
    <w:pPr>
      <w:spacing w:before="0" w:after="0"/>
    </w:pPr>
  </w:style>
  <w:style w:type="paragraph" w:customStyle="1" w:styleId="Am-NER-Body-Para">
    <w:name w:val="Am-NER-Body-Para"/>
    <w:basedOn w:val="Base-Am-NER-Para"/>
    <w:uiPriority w:val="99"/>
    <w:pPr>
      <w:ind w:left="567"/>
    </w:pPr>
  </w:style>
  <w:style w:type="paragraph" w:customStyle="1" w:styleId="Am-NER-Body-Para-In-1">
    <w:name w:val="Am-NER-Body-Para-In-1"/>
    <w:basedOn w:val="Base-Am-NER-Para"/>
    <w:uiPriority w:val="99"/>
    <w:pPr>
      <w:ind w:left="1134"/>
    </w:pPr>
  </w:style>
  <w:style w:type="paragraph" w:customStyle="1" w:styleId="Am-NER-Body-Para-In-2">
    <w:name w:val="Am-NER-Body-Para-In-2"/>
    <w:basedOn w:val="Base-Am-NER-Para"/>
    <w:uiPriority w:val="99"/>
    <w:pPr>
      <w:ind w:left="1701"/>
    </w:pPr>
  </w:style>
  <w:style w:type="paragraph" w:customStyle="1" w:styleId="Am-NER-Body-Para-In-3">
    <w:name w:val="Am-NER-Body-Para-In-3"/>
    <w:basedOn w:val="Base-Am-NER-Para"/>
    <w:uiPriority w:val="99"/>
    <w:pPr>
      <w:ind w:left="2268"/>
    </w:pPr>
  </w:style>
  <w:style w:type="paragraph" w:customStyle="1" w:styleId="Am-NER-Body-List-1-MNum">
    <w:name w:val="Am-NER-Body-List-1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Body-List-2-MNum">
    <w:name w:val="Am-NER-Body-List-2-MNum"/>
    <w:basedOn w:val="Base-Am-NER-Para"/>
    <w:uiPriority w:val="99"/>
    <w:pPr>
      <w:tabs>
        <w:tab w:val="left" w:pos="1701"/>
      </w:tabs>
      <w:ind w:left="2268" w:hanging="1134"/>
    </w:pPr>
  </w:style>
  <w:style w:type="paragraph" w:customStyle="1" w:styleId="Am-NER-Body-List-3-MNum">
    <w:name w:val="Am-NER-Body-List-3-MNum"/>
    <w:basedOn w:val="Base-Am-NER-Para"/>
    <w:uiPriority w:val="99"/>
    <w:pPr>
      <w:tabs>
        <w:tab w:val="left" w:pos="2268"/>
      </w:tabs>
      <w:ind w:left="2268" w:hanging="567"/>
    </w:pPr>
  </w:style>
  <w:style w:type="paragraph" w:customStyle="1" w:styleId="Am-EMR-Body-Para">
    <w:name w:val="Am-EMR-Body-Para"/>
    <w:basedOn w:val="Base-Am-EMR-Para"/>
    <w:uiPriority w:val="99"/>
    <w:pPr>
      <w:ind w:left="567"/>
    </w:pPr>
  </w:style>
  <w:style w:type="paragraph" w:customStyle="1" w:styleId="Am-EMR-Body-Para-In-1">
    <w:name w:val="Am-EMR-Body-Para-In-1"/>
    <w:basedOn w:val="Base-Am-EMR-Para"/>
    <w:uiPriority w:val="99"/>
    <w:pPr>
      <w:ind w:left="1134"/>
    </w:pPr>
  </w:style>
  <w:style w:type="paragraph" w:customStyle="1" w:styleId="Am-EMR-Body-Para-In-2">
    <w:name w:val="Am-EMR-Body-Para-In-2"/>
    <w:basedOn w:val="Base-Am-EMR-Para"/>
    <w:uiPriority w:val="99"/>
    <w:pPr>
      <w:ind w:left="1701"/>
    </w:pPr>
  </w:style>
  <w:style w:type="paragraph" w:customStyle="1" w:styleId="Am-EMR-Body-Para-In-3">
    <w:name w:val="Am-EMR-Body-Para-In-3"/>
    <w:basedOn w:val="Base-Am-EMR-Para"/>
    <w:uiPriority w:val="99"/>
    <w:pPr>
      <w:ind w:left="2268"/>
    </w:pPr>
  </w:style>
  <w:style w:type="paragraph" w:customStyle="1" w:styleId="Am-EMR-Body-List-1-MNum">
    <w:name w:val="Am-EMR-Body-List-1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Body-List-2-MNum">
    <w:name w:val="Am-EMR-Body-List-2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Body-List-3-MNum">
    <w:name w:val="Am-EMR-Body-List-3-MNum"/>
    <w:basedOn w:val="Base-Am-EMR-Para"/>
    <w:uiPriority w:val="99"/>
    <w:pPr>
      <w:tabs>
        <w:tab w:val="left" w:pos="2268"/>
      </w:tabs>
      <w:ind w:left="2268" w:hanging="567"/>
    </w:pPr>
  </w:style>
  <w:style w:type="paragraph" w:customStyle="1" w:styleId="NER-Cl-Title-Lvl-2">
    <w:name w:val="NER-Cl-Title-Lvl-2"/>
    <w:basedOn w:val="NER-Cl-Title"/>
    <w:uiPriority w:val="99"/>
    <w:pPr>
      <w:outlineLvl w:val="1"/>
    </w:pPr>
  </w:style>
  <w:style w:type="paragraph" w:customStyle="1" w:styleId="NER-Cl-Title-Lvl-3">
    <w:name w:val="NER-Cl-Title-Lvl-3"/>
    <w:basedOn w:val="NER-Cl-Title"/>
    <w:uiPriority w:val="99"/>
    <w:pPr>
      <w:outlineLvl w:val="2"/>
    </w:pPr>
  </w:style>
  <w:style w:type="paragraph" w:customStyle="1" w:styleId="NER-Cl-Title-Lvl-4">
    <w:name w:val="NER-Cl-Title-Lvl-4"/>
    <w:basedOn w:val="NER-Cl-Title"/>
    <w:uiPriority w:val="99"/>
  </w:style>
  <w:style w:type="paragraph" w:customStyle="1" w:styleId="NER-Cl-Title-Lvl-5">
    <w:name w:val="NER-Cl-Title-Lvl-5"/>
    <w:basedOn w:val="NER-Cl-Title"/>
    <w:uiPriority w:val="99"/>
    <w:pPr>
      <w:outlineLvl w:val="4"/>
    </w:pPr>
  </w:style>
  <w:style w:type="paragraph" w:customStyle="1" w:styleId="NER-Cl-Title-Lvl-2-UNum">
    <w:name w:val="NER-Cl-Title-Lvl-2-UNum"/>
    <w:basedOn w:val="NER-Cl-Title-UNum"/>
    <w:uiPriority w:val="99"/>
  </w:style>
  <w:style w:type="paragraph" w:customStyle="1" w:styleId="NER-Cl-Title-Lvl-3-UNum">
    <w:name w:val="NER-Cl-Title-Lvl-3-UNum"/>
    <w:basedOn w:val="NER-Cl-Title-UNum"/>
    <w:uiPriority w:val="99"/>
  </w:style>
  <w:style w:type="paragraph" w:customStyle="1" w:styleId="NER-Cl-Title-Lvl-4-UNum">
    <w:name w:val="NER-Cl-Title-Lvl-4-UNum"/>
    <w:basedOn w:val="NER-Cl-Title-UNum"/>
    <w:uiPriority w:val="99"/>
  </w:style>
  <w:style w:type="paragraph" w:customStyle="1" w:styleId="NER-Cl-Title-Lvl-5-UNum">
    <w:name w:val="NER-Cl-Title-Lvl-5-UNum"/>
    <w:basedOn w:val="NER-Cl-Title-UNum"/>
    <w:uiPriority w:val="99"/>
  </w:style>
  <w:style w:type="paragraph" w:customStyle="1" w:styleId="EMR-Pt-Title-Lvl-2">
    <w:name w:val="EMR-Pt-Title-Lvl-2"/>
    <w:basedOn w:val="EMR-Pt-Title"/>
    <w:uiPriority w:val="99"/>
    <w:pPr>
      <w:pageBreakBefore w:val="0"/>
      <w:outlineLvl w:val="1"/>
    </w:pPr>
  </w:style>
  <w:style w:type="paragraph" w:customStyle="1" w:styleId="NER-Ch-Sch-Title-Lvl-2">
    <w:name w:val="NER-Ch-Sch-Title-Lvl-2"/>
    <w:basedOn w:val="NER-Ch-Sch-Title"/>
    <w:uiPriority w:val="99"/>
  </w:style>
  <w:style w:type="paragraph" w:customStyle="1" w:styleId="NER-Ch-Sch-Title-Lvl-3">
    <w:name w:val="NER-Ch-Sch-Title-Lvl-3"/>
    <w:basedOn w:val="NER-Ch-Sch-Title"/>
    <w:uiPriority w:val="99"/>
    <w:pPr>
      <w:outlineLvl w:val="2"/>
    </w:pPr>
  </w:style>
  <w:style w:type="paragraph" w:customStyle="1" w:styleId="NER-Ch-Sch-Title-Lvl-4">
    <w:name w:val="NER-Ch-Sch-Title-Lvl-4"/>
    <w:basedOn w:val="NER-Ch-Sch-Title"/>
    <w:uiPriority w:val="99"/>
    <w:pPr>
      <w:outlineLvl w:val="3"/>
    </w:pPr>
  </w:style>
  <w:style w:type="paragraph" w:customStyle="1" w:styleId="NER-Pt-Sch-Title-Lvl-2">
    <w:name w:val="NER-Pt-Sch-Title-Lvl-2"/>
    <w:basedOn w:val="NER-Pt-Sch-Title"/>
    <w:uiPriority w:val="99"/>
    <w:pPr>
      <w:outlineLvl w:val="1"/>
    </w:pPr>
  </w:style>
  <w:style w:type="paragraph" w:customStyle="1" w:styleId="NER-Pt-Sch-Title-Lvl-3">
    <w:name w:val="NER-Pt-Sch-Title-Lvl-3"/>
    <w:basedOn w:val="NER-Pt-Sch-Title"/>
    <w:uiPriority w:val="99"/>
  </w:style>
  <w:style w:type="paragraph" w:customStyle="1" w:styleId="NER-Pt-Sch-Title-Lvl-4">
    <w:name w:val="NER-Pt-Sch-Title-Lvl-4"/>
    <w:basedOn w:val="NER-Pt-Sch-Title"/>
    <w:uiPriority w:val="99"/>
    <w:pPr>
      <w:outlineLvl w:val="3"/>
    </w:pPr>
  </w:style>
  <w:style w:type="paragraph" w:customStyle="1" w:styleId="NER-Rule-Title-Lvl-5">
    <w:name w:val="NER-Rule-Title-Lvl-5"/>
    <w:basedOn w:val="NER-Rule-Title"/>
    <w:uiPriority w:val="99"/>
    <w:pPr>
      <w:outlineLvl w:val="4"/>
    </w:pPr>
  </w:style>
  <w:style w:type="paragraph" w:customStyle="1" w:styleId="NER-Rule-Title-Lvl-6">
    <w:name w:val="NER-Rule-Title-Lvl-6"/>
    <w:basedOn w:val="NER-Rule-Title"/>
    <w:uiPriority w:val="99"/>
    <w:pPr>
      <w:outlineLvl w:val="5"/>
    </w:pPr>
  </w:style>
  <w:style w:type="paragraph" w:customStyle="1" w:styleId="NER-Rule-Title-Lvl-7">
    <w:name w:val="NER-Rule-Title-Lvl-7"/>
    <w:basedOn w:val="NER-Rule-Title"/>
    <w:uiPriority w:val="99"/>
    <w:pPr>
      <w:outlineLvl w:val="6"/>
    </w:pPr>
  </w:style>
  <w:style w:type="paragraph" w:customStyle="1" w:styleId="NER-Cl-Title-Lvl-6">
    <w:name w:val="NER-Cl-Title-Lvl-6"/>
    <w:basedOn w:val="NER-Cl-Title"/>
    <w:uiPriority w:val="99"/>
    <w:pPr>
      <w:outlineLvl w:val="5"/>
    </w:pPr>
  </w:style>
  <w:style w:type="paragraph" w:customStyle="1" w:styleId="NER-Cl-Title-Lvl-7">
    <w:name w:val="NER-Cl-Title-Lvl-7"/>
    <w:basedOn w:val="NER-Cl-Title"/>
    <w:uiPriority w:val="99"/>
    <w:pPr>
      <w:outlineLvl w:val="6"/>
    </w:pPr>
  </w:style>
  <w:style w:type="paragraph" w:customStyle="1" w:styleId="NER-Ch-Title-Lvl-2">
    <w:name w:val="NER-Ch-Title-Lvl-2"/>
    <w:basedOn w:val="NER-Ch-Title"/>
    <w:uiPriority w:val="99"/>
    <w:pPr>
      <w:outlineLvl w:val="1"/>
    </w:pPr>
  </w:style>
  <w:style w:type="paragraph" w:customStyle="1" w:styleId="NER-Ch-Title-Lvl-3">
    <w:name w:val="NER-Ch-Title-Lvl-3"/>
    <w:basedOn w:val="NER-Ch-Title"/>
    <w:uiPriority w:val="99"/>
    <w:pPr>
      <w:outlineLvl w:val="2"/>
    </w:pPr>
  </w:style>
  <w:style w:type="paragraph" w:customStyle="1" w:styleId="NER-Pt-Title-Lvl-2">
    <w:name w:val="NER-Pt-Title-Lvl-2"/>
    <w:basedOn w:val="NER-Pt-Title"/>
    <w:uiPriority w:val="99"/>
  </w:style>
  <w:style w:type="paragraph" w:customStyle="1" w:styleId="NER-Pt-Title-Lvl-3">
    <w:name w:val="NER-Pt-Title-Lvl-3"/>
    <w:basedOn w:val="NER-Pt-Title"/>
    <w:uiPriority w:val="99"/>
    <w:pPr>
      <w:outlineLvl w:val="2"/>
    </w:pPr>
  </w:style>
  <w:style w:type="paragraph" w:customStyle="1" w:styleId="NER-Pt-Title-Lvl-4">
    <w:name w:val="NER-Pt-Title-Lvl-4"/>
    <w:basedOn w:val="NER-Pt-Title"/>
    <w:uiPriority w:val="99"/>
    <w:pPr>
      <w:outlineLvl w:val="3"/>
    </w:pPr>
  </w:style>
  <w:style w:type="paragraph" w:customStyle="1" w:styleId="EMR-Rule-Title-Lvl-5">
    <w:name w:val="EMR-Rule-Title-Lvl-5"/>
    <w:basedOn w:val="EMR-Rule-Title"/>
    <w:uiPriority w:val="99"/>
  </w:style>
  <w:style w:type="paragraph" w:customStyle="1" w:styleId="EMR-Rule-Title-Lvl-6">
    <w:name w:val="EMR-Rule-Title-Lvl-6"/>
    <w:basedOn w:val="EMR-Rule-Title"/>
    <w:uiPriority w:val="99"/>
  </w:style>
  <w:style w:type="paragraph" w:customStyle="1" w:styleId="EMR-Rule-Title-Lvl-7">
    <w:name w:val="EMR-Rule-Title-Lvl-7"/>
    <w:basedOn w:val="EMR-Rule-Title"/>
    <w:uiPriority w:val="99"/>
  </w:style>
  <w:style w:type="paragraph" w:customStyle="1" w:styleId="EMR-Div-Title-Lvl-2">
    <w:name w:val="EMR-Div-Title-Lvl-2"/>
    <w:basedOn w:val="EMR-Div-Title"/>
    <w:uiPriority w:val="99"/>
  </w:style>
  <w:style w:type="paragraph" w:customStyle="1" w:styleId="EMR-Div-Title-Lvl-3">
    <w:name w:val="EMR-Div-Title-Lvl-3"/>
    <w:basedOn w:val="EMR-Div-Title"/>
    <w:uiPriority w:val="99"/>
    <w:pPr>
      <w:outlineLvl w:val="2"/>
    </w:pPr>
  </w:style>
  <w:style w:type="paragraph" w:customStyle="1" w:styleId="EMR-Div-Title-Lvl-4">
    <w:name w:val="EMR-Div-Title-Lvl-4"/>
    <w:basedOn w:val="EMR-Div-Title"/>
    <w:uiPriority w:val="99"/>
  </w:style>
  <w:style w:type="paragraph" w:customStyle="1" w:styleId="EMR-Subdiv-Title-Lvl-2">
    <w:name w:val="EMR-Subdiv-Title-Lvl-2"/>
    <w:basedOn w:val="EMR-Subdiv-Title"/>
    <w:uiPriority w:val="99"/>
  </w:style>
  <w:style w:type="paragraph" w:customStyle="1" w:styleId="EMR-Subdiv-Title-Lvl-3">
    <w:name w:val="EMR-Subdiv-Title-Lvl-3"/>
    <w:basedOn w:val="EMR-Subdiv-Title"/>
    <w:uiPriority w:val="99"/>
  </w:style>
  <w:style w:type="paragraph" w:customStyle="1" w:styleId="EMR-Subdiv-Title-Lvl-4">
    <w:name w:val="EMR-Subdiv-Title-Lvl-4"/>
    <w:basedOn w:val="EMR-Subdiv-Title"/>
    <w:uiPriority w:val="99"/>
  </w:style>
  <w:style w:type="paragraph" w:customStyle="1" w:styleId="EMR-Subdiv-Title-Lvl-5">
    <w:name w:val="EMR-Subdiv-Title-Lvl-5"/>
    <w:basedOn w:val="EMR-Subdiv-Title"/>
    <w:uiPriority w:val="99"/>
  </w:style>
  <w:style w:type="paragraph" w:customStyle="1" w:styleId="EMR-Sch-Contr-Title">
    <w:name w:val="EMR-Sch-Contr-Title"/>
    <w:basedOn w:val="Base-EMR-Num-Outline-Title-Indent"/>
    <w:uiPriority w:val="99"/>
    <w:pPr>
      <w:spacing w:before="240"/>
    </w:pPr>
    <w:rPr>
      <w:sz w:val="30"/>
      <w:szCs w:val="30"/>
    </w:rPr>
  </w:style>
  <w:style w:type="paragraph" w:customStyle="1" w:styleId="Base-EMR-Num-Contr-Rule-Title-indent">
    <w:name w:val="Base-EMR-Num-Contr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Base-EMR-Contr-Rule-Title">
    <w:name w:val="Base-EMR-Contr-Rule-Title"/>
    <w:basedOn w:val="Base-EMR-Num-Contr-Rule-Title-indent"/>
    <w:uiPriority w:val="99"/>
    <w:pPr>
      <w:spacing w:before="240" w:after="60"/>
    </w:pPr>
    <w:rPr>
      <w:sz w:val="28"/>
      <w:szCs w:val="28"/>
    </w:rPr>
  </w:style>
  <w:style w:type="paragraph" w:customStyle="1" w:styleId="EMR-Contr-Rule-Title">
    <w:name w:val="EMR-Contr-Rule-Title"/>
    <w:basedOn w:val="Base-EMR-Contr-Rule-Title"/>
    <w:uiPriority w:val="99"/>
  </w:style>
  <w:style w:type="paragraph" w:customStyle="1" w:styleId="EMR-Contr-Rule-Title-Lvl-2">
    <w:name w:val="EMR-Contr-Rule-Title-Lvl-2"/>
    <w:basedOn w:val="EMR-Contr-Rule-Title"/>
    <w:uiPriority w:val="99"/>
  </w:style>
  <w:style w:type="paragraph" w:customStyle="1" w:styleId="EMR-Contr-Rule-Title-Lvl-3">
    <w:name w:val="EMR-Contr-Rule-Title-Lvl-3"/>
    <w:basedOn w:val="EMR-Contr-Rule-Title"/>
    <w:uiPriority w:val="99"/>
  </w:style>
  <w:style w:type="paragraph" w:customStyle="1" w:styleId="EMR-Contr-Rule-Title-Lvl-4">
    <w:name w:val="EMR-Contr-Rule-Title-Lvl-4"/>
    <w:basedOn w:val="EMR-Contr-Rule-Title"/>
    <w:uiPriority w:val="99"/>
  </w:style>
  <w:style w:type="paragraph" w:customStyle="1" w:styleId="EMR-Contr-Rule-Title-Lvl-5">
    <w:name w:val="EMR-Contr-Rule-Title-Lvl-5"/>
    <w:basedOn w:val="EMR-Contr-Rule-Title"/>
    <w:uiPriority w:val="99"/>
  </w:style>
  <w:style w:type="paragraph" w:customStyle="1" w:styleId="EMR-Contr-Rule-Title-Lvl-6">
    <w:name w:val="EMR-Contr-Rule-Title-Lvl-6"/>
    <w:basedOn w:val="EMR-Contr-Rule-Title"/>
    <w:uiPriority w:val="99"/>
  </w:style>
  <w:style w:type="paragraph" w:customStyle="1" w:styleId="EMR-Contr-Rule-Title-Lvl-7">
    <w:name w:val="EMR-Contr-Rule-Title-Lvl-7"/>
    <w:basedOn w:val="EMR-Contr-Rule-Title"/>
    <w:uiPriority w:val="99"/>
  </w:style>
  <w:style w:type="paragraph" w:customStyle="1" w:styleId="EMR-Contr-Subrule-Title">
    <w:name w:val="EMR-Contr-Subrule-Title"/>
    <w:basedOn w:val="EMR-RSR-Para"/>
    <w:uiPriority w:val="99"/>
    <w:pPr>
      <w:keepNext/>
      <w:keepLines/>
      <w:spacing w:before="240" w:after="60"/>
      <w:ind w:hanging="567"/>
      <w:jc w:val="left"/>
    </w:pPr>
    <w:rPr>
      <w:rFonts w:ascii="Arial" w:hAnsi="Arial" w:cs="Arial"/>
      <w:b/>
      <w:bCs/>
    </w:rPr>
  </w:style>
  <w:style w:type="paragraph" w:customStyle="1" w:styleId="EMR-Contr-Rule-Title-F-UNum">
    <w:name w:val="EMR-Contr-Rule-Title-F-UNum"/>
    <w:basedOn w:val="Base-EMR-Contr-Rule-Title"/>
    <w:uiPriority w:val="99"/>
    <w:pPr>
      <w:spacing w:before="480" w:after="0"/>
      <w:ind w:left="0" w:firstLine="0"/>
    </w:pPr>
  </w:style>
  <w:style w:type="paragraph" w:customStyle="1" w:styleId="EMR-Contr-Rule-Title-UNum">
    <w:name w:val="EMR-Contr-Rule-Title-UNum"/>
    <w:basedOn w:val="Base-EMR-Contr-Rule-Title"/>
    <w:uiPriority w:val="99"/>
  </w:style>
  <w:style w:type="paragraph" w:customStyle="1" w:styleId="Base-NER-Form-Title">
    <w:name w:val="Base-NER-Form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orm-Title-UNum">
    <w:name w:val="NER-Form-Title-UNum"/>
    <w:basedOn w:val="Base-NER-Form-Title"/>
    <w:uiPriority w:val="99"/>
  </w:style>
  <w:style w:type="paragraph" w:customStyle="1" w:styleId="NER-Form-Title-UNum-In-1">
    <w:name w:val="NER-Form-Title-UNum-In-1"/>
    <w:basedOn w:val="Base-NER-Form-Title"/>
    <w:uiPriority w:val="99"/>
  </w:style>
  <w:style w:type="paragraph" w:customStyle="1" w:styleId="NER-Form-Title-UNum-In-2">
    <w:name w:val="NER-Form-Title-UNum-In-2"/>
    <w:basedOn w:val="Base-NER-Form-Title"/>
    <w:uiPriority w:val="99"/>
    <w:pPr>
      <w:ind w:left="1701"/>
    </w:pPr>
  </w:style>
  <w:style w:type="paragraph" w:customStyle="1" w:styleId="NER-Form-Title-UNum-In-3">
    <w:name w:val="NER-Form-Title-UNum-In-3"/>
    <w:basedOn w:val="Base-NER-Form-Title"/>
    <w:uiPriority w:val="99"/>
    <w:pPr>
      <w:ind w:left="2268"/>
    </w:pPr>
  </w:style>
  <w:style w:type="paragraph" w:customStyle="1" w:styleId="NER-Form-Title-UNum-In-4">
    <w:name w:val="NER-Form-Title-UNum-In-4"/>
    <w:basedOn w:val="Base-NER-Form-Title"/>
    <w:uiPriority w:val="99"/>
    <w:pPr>
      <w:ind w:left="2835"/>
    </w:pPr>
  </w:style>
  <w:style w:type="paragraph" w:customStyle="1" w:styleId="NER-Form-Title-MNum">
    <w:name w:val="NER-Form-Title-MNum"/>
    <w:basedOn w:val="Base-NER-Form-Title"/>
    <w:uiPriority w:val="99"/>
    <w:pPr>
      <w:tabs>
        <w:tab w:val="left" w:pos="1701"/>
      </w:tabs>
      <w:ind w:left="1701" w:hanging="567"/>
    </w:pPr>
  </w:style>
  <w:style w:type="paragraph" w:customStyle="1" w:styleId="NER-Form-Title-MNum-In-1">
    <w:name w:val="NER-Form-Title-MNum-In-1"/>
    <w:basedOn w:val="NER-Form-Title-MNum"/>
    <w:uiPriority w:val="99"/>
  </w:style>
  <w:style w:type="paragraph" w:customStyle="1" w:styleId="NER-Form-Title-MNum-In-2">
    <w:name w:val="NER-Form-Title-MNum-In-2"/>
    <w:basedOn w:val="NER-Form-Title-MNum"/>
    <w:uiPriority w:val="99"/>
    <w:pPr>
      <w:ind w:left="2268"/>
    </w:pPr>
  </w:style>
  <w:style w:type="paragraph" w:customStyle="1" w:styleId="NER-Form-Title-MNum-In-3">
    <w:name w:val="NER-Form-Title-MNum-In-3"/>
    <w:basedOn w:val="NER-Form-Title-MNum"/>
    <w:uiPriority w:val="99"/>
    <w:pPr>
      <w:ind w:left="2835"/>
    </w:pPr>
  </w:style>
  <w:style w:type="paragraph" w:customStyle="1" w:styleId="NER-Form-Title-MNum-In-4">
    <w:name w:val="NER-Form-Title-MNum-In-4"/>
    <w:basedOn w:val="NER-Form-Title-MNum"/>
    <w:uiPriority w:val="99"/>
    <w:pPr>
      <w:ind w:left="3402"/>
    </w:pPr>
  </w:style>
  <w:style w:type="paragraph" w:customStyle="1" w:styleId="Base-NER-Form-Para">
    <w:name w:val="Base-NER-Form-Para"/>
    <w:basedOn w:val="Base-NER-RC-Para"/>
    <w:uiPriority w:val="99"/>
  </w:style>
  <w:style w:type="paragraph" w:customStyle="1" w:styleId="NER-Form-Para">
    <w:name w:val="NER-Form-Para"/>
    <w:basedOn w:val="Base-NER-Form-Para"/>
    <w:uiPriority w:val="99"/>
  </w:style>
  <w:style w:type="paragraph" w:customStyle="1" w:styleId="NER-Form-Para-In-1">
    <w:name w:val="NER-Form-Para-In-1"/>
    <w:basedOn w:val="NER-Form-Para"/>
    <w:uiPriority w:val="99"/>
    <w:pPr>
      <w:ind w:left="1701"/>
    </w:pPr>
  </w:style>
  <w:style w:type="paragraph" w:customStyle="1" w:styleId="NER-Form-Para-In-2">
    <w:name w:val="NER-Form-Para-In-2"/>
    <w:basedOn w:val="NER-Form-Para"/>
    <w:uiPriority w:val="99"/>
    <w:pPr>
      <w:ind w:left="2268"/>
    </w:pPr>
  </w:style>
  <w:style w:type="paragraph" w:customStyle="1" w:styleId="NER-Form-Para-In-3">
    <w:name w:val="NER-Form-Para-In-3"/>
    <w:basedOn w:val="NER-Form-Para"/>
    <w:uiPriority w:val="99"/>
    <w:pPr>
      <w:ind w:left="2835"/>
    </w:pPr>
  </w:style>
  <w:style w:type="paragraph" w:customStyle="1" w:styleId="NER-Form-Para-In-4">
    <w:name w:val="NER-Form-Para-In-4"/>
    <w:basedOn w:val="NER-Form-Para"/>
    <w:uiPriority w:val="99"/>
    <w:pPr>
      <w:ind w:left="3402"/>
    </w:pPr>
  </w:style>
  <w:style w:type="paragraph" w:customStyle="1" w:styleId="NER-Form-Text-new-line-only">
    <w:name w:val="NER-Form-Text-new-line-only"/>
    <w:basedOn w:val="NER-Form-Para"/>
    <w:uiPriority w:val="99"/>
  </w:style>
  <w:style w:type="paragraph" w:customStyle="1" w:styleId="NER-Form-Text">
    <w:name w:val="NER-Form-Text"/>
    <w:basedOn w:val="Base-NER-Form-Para"/>
    <w:uiPriority w:val="99"/>
  </w:style>
  <w:style w:type="paragraph" w:customStyle="1" w:styleId="NER-Form-Text-In-1">
    <w:name w:val="NER-Form-Text-In-1"/>
    <w:basedOn w:val="NER-Form-Para-In-1"/>
    <w:uiPriority w:val="99"/>
  </w:style>
  <w:style w:type="paragraph" w:customStyle="1" w:styleId="NER-Form-Text-In-2">
    <w:name w:val="NER-Form-Text-In-2"/>
    <w:basedOn w:val="NER-Form-Para-In-2"/>
    <w:uiPriority w:val="99"/>
  </w:style>
  <w:style w:type="paragraph" w:customStyle="1" w:styleId="NER-Form-Text-In-3">
    <w:name w:val="NER-Form-Text-In-3"/>
    <w:basedOn w:val="NER-Form-Para-In-3"/>
    <w:uiPriority w:val="99"/>
  </w:style>
  <w:style w:type="paragraph" w:customStyle="1" w:styleId="NER-Form-Text-In-4">
    <w:name w:val="NER-Form-Text-In-4"/>
    <w:basedOn w:val="NER-Form-Para-In-4"/>
    <w:uiPriority w:val="99"/>
  </w:style>
  <w:style w:type="paragraph" w:customStyle="1" w:styleId="NER-Form-List-1-UNum">
    <w:name w:val="NER-Form-List-1-UNum"/>
    <w:basedOn w:val="Base-NER-Form-Para"/>
    <w:uiPriority w:val="99"/>
  </w:style>
  <w:style w:type="paragraph" w:customStyle="1" w:styleId="NER-Form-List-2-Unum">
    <w:name w:val="NER-Form-List-2-Unum"/>
    <w:basedOn w:val="Base-NER-Form-Para"/>
    <w:uiPriority w:val="99"/>
    <w:pPr>
      <w:ind w:left="1701"/>
    </w:pPr>
  </w:style>
  <w:style w:type="paragraph" w:customStyle="1" w:styleId="NER-Form-List-3-Unum">
    <w:name w:val="NER-Form-List-3-Unum"/>
    <w:basedOn w:val="Base-NER-Form-Para"/>
    <w:uiPriority w:val="99"/>
    <w:pPr>
      <w:ind w:left="2268"/>
    </w:pPr>
  </w:style>
  <w:style w:type="paragraph" w:customStyle="1" w:styleId="NER-Form-List-4-Unum">
    <w:name w:val="NER-Form-List-4-Unum"/>
    <w:basedOn w:val="Base-NER-Form-Para"/>
    <w:uiPriority w:val="99"/>
    <w:pPr>
      <w:ind w:left="2835"/>
    </w:pPr>
  </w:style>
  <w:style w:type="paragraph" w:customStyle="1" w:styleId="NER-Form-List-1-MNum">
    <w:name w:val="NER-Form-List-1-MNum"/>
    <w:basedOn w:val="NER-Form-List-1-UNum"/>
    <w:uiPriority w:val="99"/>
    <w:pPr>
      <w:ind w:left="1701" w:hanging="567"/>
    </w:pPr>
  </w:style>
  <w:style w:type="paragraph" w:customStyle="1" w:styleId="NER-Form-List-2-MNum">
    <w:name w:val="NER-Form-List-2-MNum"/>
    <w:basedOn w:val="NER-Form-List-2-Unum"/>
    <w:uiPriority w:val="99"/>
    <w:pPr>
      <w:ind w:left="2268" w:hanging="567"/>
    </w:pPr>
  </w:style>
  <w:style w:type="paragraph" w:customStyle="1" w:styleId="NER-Form-List-3-MNum">
    <w:name w:val="NER-Form-List-3-MNum"/>
    <w:basedOn w:val="NER-Form-List-3-Unum"/>
    <w:uiPriority w:val="99"/>
  </w:style>
  <w:style w:type="paragraph" w:customStyle="1" w:styleId="NER-Form-List-4-MNum">
    <w:name w:val="NER-Form-List-4-MNum"/>
    <w:basedOn w:val="NER-Form-List-4-Unum"/>
    <w:uiPriority w:val="99"/>
  </w:style>
  <w:style w:type="paragraph" w:customStyle="1" w:styleId="NER-Form-List-1-bull">
    <w:name w:val="NER-Form-List-1-bull"/>
    <w:basedOn w:val="NER-Form-List-1-MNum"/>
    <w:uiPriority w:val="99"/>
  </w:style>
  <w:style w:type="paragraph" w:customStyle="1" w:styleId="NER-Form-List-2-bull">
    <w:name w:val="NER-Form-List-2-bull"/>
    <w:basedOn w:val="NER-Form-List-2-MNum"/>
    <w:uiPriority w:val="99"/>
  </w:style>
  <w:style w:type="paragraph" w:customStyle="1" w:styleId="NER-Form-List-3-bull">
    <w:name w:val="NER-Form-List-3-bull"/>
    <w:basedOn w:val="NER-Form-List-3-MNum"/>
    <w:uiPriority w:val="99"/>
  </w:style>
  <w:style w:type="paragraph" w:customStyle="1" w:styleId="NER-Form-List-4-bull">
    <w:name w:val="NER-Form-List-4-bull"/>
    <w:basedOn w:val="NER-Form-List-4-MNum"/>
    <w:uiPriority w:val="99"/>
  </w:style>
  <w:style w:type="paragraph" w:customStyle="1" w:styleId="Base-EMR-Form-Title">
    <w:name w:val="Base-EMR-Form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orm-Title-UNum">
    <w:name w:val="EMR-Form-Title-UNum"/>
    <w:basedOn w:val="Base-EMR-Form-Title"/>
    <w:uiPriority w:val="99"/>
  </w:style>
  <w:style w:type="paragraph" w:customStyle="1" w:styleId="EMR-Form-Title-UNum-In-1">
    <w:name w:val="EMR-Form-Title-UNum-In-1"/>
    <w:basedOn w:val="EMR-Form-Title-UNum"/>
    <w:uiPriority w:val="99"/>
    <w:pPr>
      <w:ind w:left="1701"/>
    </w:pPr>
  </w:style>
  <w:style w:type="paragraph" w:customStyle="1" w:styleId="EMR-Form-Title-UNum-In-2">
    <w:name w:val="EMR-Form-Title-UNum-In-2"/>
    <w:basedOn w:val="EMR-Form-Title-UNum"/>
    <w:uiPriority w:val="99"/>
    <w:pPr>
      <w:ind w:left="2268"/>
    </w:pPr>
  </w:style>
  <w:style w:type="paragraph" w:customStyle="1" w:styleId="EMR-Form-Title-UNum-In-3">
    <w:name w:val="EMR-Form-Title-UNum-In-3"/>
    <w:basedOn w:val="EMR-Form-Title-UNum"/>
    <w:uiPriority w:val="99"/>
    <w:pPr>
      <w:ind w:left="2835"/>
    </w:pPr>
  </w:style>
  <w:style w:type="paragraph" w:customStyle="1" w:styleId="EMR-Form-Title-UNum-In-4">
    <w:name w:val="EMR-Form-Title-UNum-In-4"/>
    <w:basedOn w:val="EMR-Form-Title-UNum"/>
    <w:uiPriority w:val="99"/>
    <w:pPr>
      <w:ind w:left="3402"/>
    </w:pPr>
  </w:style>
  <w:style w:type="paragraph" w:customStyle="1" w:styleId="EMR-Form-Title-MNum">
    <w:name w:val="EMR-Form-Title-MNum"/>
    <w:basedOn w:val="EMR-Form-Title-UNum"/>
    <w:uiPriority w:val="99"/>
    <w:pPr>
      <w:tabs>
        <w:tab w:val="left" w:pos="1134"/>
      </w:tabs>
      <w:ind w:left="2268" w:hanging="1134"/>
    </w:pPr>
  </w:style>
  <w:style w:type="paragraph" w:customStyle="1" w:styleId="EMR-Form-Title-MNum-In-1">
    <w:name w:val="EMR-Form-Title-MNum-In-1"/>
    <w:basedOn w:val="EMR-Form-Title-UNum-In-1"/>
    <w:uiPriority w:val="99"/>
    <w:pPr>
      <w:ind w:left="2835" w:hanging="1134"/>
    </w:pPr>
  </w:style>
  <w:style w:type="paragraph" w:customStyle="1" w:styleId="EMR-Form-Title-MNum-In-2">
    <w:name w:val="EMR-Form-Title-MNum-In-2"/>
    <w:basedOn w:val="EMR-Form-Title-UNum-In-2"/>
    <w:uiPriority w:val="99"/>
    <w:pPr>
      <w:tabs>
        <w:tab w:val="left" w:pos="1134"/>
      </w:tabs>
      <w:ind w:left="3402" w:hanging="1134"/>
    </w:pPr>
  </w:style>
  <w:style w:type="paragraph" w:customStyle="1" w:styleId="EMR-Form-Title-MNum-In-3">
    <w:name w:val="EMR-Form-Title-MNum-In-3"/>
    <w:basedOn w:val="EMR-Form-Title-UNum-In-3"/>
    <w:uiPriority w:val="99"/>
    <w:pPr>
      <w:tabs>
        <w:tab w:val="left" w:pos="1134"/>
      </w:tabs>
      <w:ind w:left="3969" w:hanging="1134"/>
    </w:pPr>
  </w:style>
  <w:style w:type="paragraph" w:customStyle="1" w:styleId="EMR-Form-Title-MNum-In-4">
    <w:name w:val="EMR-Form-Title-MNum-In-4"/>
    <w:basedOn w:val="EMR-Form-Title-UNum-In-4"/>
    <w:uiPriority w:val="99"/>
    <w:pPr>
      <w:tabs>
        <w:tab w:val="left" w:pos="1135"/>
      </w:tabs>
      <w:ind w:left="4537" w:hanging="1134"/>
    </w:pPr>
  </w:style>
  <w:style w:type="paragraph" w:customStyle="1" w:styleId="Base-EMR-Form-Para">
    <w:name w:val="Base-EMR-Form-Para"/>
    <w:basedOn w:val="Base-EMR-RSR-Para"/>
    <w:uiPriority w:val="99"/>
  </w:style>
  <w:style w:type="paragraph" w:customStyle="1" w:styleId="EMR-Form-Para">
    <w:name w:val="EMR-Form-Para"/>
    <w:basedOn w:val="Base-EMR-Form-Para"/>
    <w:uiPriority w:val="99"/>
  </w:style>
  <w:style w:type="paragraph" w:customStyle="1" w:styleId="EMR-Form-Para-In-1">
    <w:name w:val="EMR-Form-Para-In-1"/>
    <w:basedOn w:val="EMR-Form-Para"/>
    <w:uiPriority w:val="99"/>
    <w:pPr>
      <w:ind w:left="1701"/>
    </w:pPr>
  </w:style>
  <w:style w:type="paragraph" w:customStyle="1" w:styleId="EMR-Form-Para-In-2">
    <w:name w:val="EMR-Form-Para-In-2"/>
    <w:basedOn w:val="EMR-Form-Para"/>
    <w:uiPriority w:val="99"/>
    <w:pPr>
      <w:ind w:left="2268"/>
    </w:pPr>
  </w:style>
  <w:style w:type="paragraph" w:customStyle="1" w:styleId="EMR-Form-Para-In-3">
    <w:name w:val="EMR-Form-Para-In-3"/>
    <w:basedOn w:val="EMR-Form-Para"/>
    <w:uiPriority w:val="99"/>
    <w:pPr>
      <w:ind w:left="2835"/>
    </w:pPr>
  </w:style>
  <w:style w:type="paragraph" w:customStyle="1" w:styleId="EMR-Form-Para-In-4">
    <w:name w:val="EMR-Form-Para-In-4"/>
    <w:basedOn w:val="EMR-Form-Para"/>
    <w:uiPriority w:val="99"/>
    <w:pPr>
      <w:ind w:left="3402"/>
    </w:pPr>
  </w:style>
  <w:style w:type="paragraph" w:customStyle="1" w:styleId="EMR-Form-Text-new-line-only">
    <w:name w:val="EMR-Form-Text-new-line-only"/>
    <w:basedOn w:val="EMR-Form-Para"/>
    <w:uiPriority w:val="99"/>
    <w:pPr>
      <w:spacing w:before="0" w:after="0"/>
    </w:pPr>
  </w:style>
  <w:style w:type="paragraph" w:customStyle="1" w:styleId="EMR-Form-Text">
    <w:name w:val="EMR-Form-Text"/>
    <w:basedOn w:val="Base-EMR-Form-Para"/>
    <w:uiPriority w:val="99"/>
  </w:style>
  <w:style w:type="paragraph" w:customStyle="1" w:styleId="EMR-Form-Text-In-1">
    <w:name w:val="EMR-Form-Text-In-1"/>
    <w:basedOn w:val="EMR-Form-Para-In-1"/>
    <w:uiPriority w:val="99"/>
  </w:style>
  <w:style w:type="paragraph" w:customStyle="1" w:styleId="EMR-Form-Text-In-2">
    <w:name w:val="EMR-Form-Text-In-2"/>
    <w:basedOn w:val="EMR-Form-Para-In-2"/>
    <w:uiPriority w:val="99"/>
  </w:style>
  <w:style w:type="paragraph" w:customStyle="1" w:styleId="EMR-Form-Text-In-3">
    <w:name w:val="EMR-Form-Text-In-3"/>
    <w:basedOn w:val="EMR-Form-Para-In-3"/>
    <w:uiPriority w:val="99"/>
  </w:style>
  <w:style w:type="paragraph" w:customStyle="1" w:styleId="EMR-Form-Text-In-4">
    <w:name w:val="EMR-Form-Text-In-4"/>
    <w:basedOn w:val="EMR-Form-Para-In-4"/>
    <w:uiPriority w:val="99"/>
  </w:style>
  <w:style w:type="paragraph" w:customStyle="1" w:styleId="EMR-Form-List-1-UNum">
    <w:name w:val="EMR-Form-List-1-UNum"/>
    <w:basedOn w:val="EMR-Form-Para"/>
    <w:uiPriority w:val="99"/>
  </w:style>
  <w:style w:type="paragraph" w:customStyle="1" w:styleId="EMR-Form-List-2-UNum">
    <w:name w:val="EMR-Form-List-2-UNum"/>
    <w:basedOn w:val="EMR-Form-Para"/>
    <w:uiPriority w:val="99"/>
    <w:pPr>
      <w:ind w:left="1701"/>
    </w:pPr>
  </w:style>
  <w:style w:type="paragraph" w:customStyle="1" w:styleId="EMR-Form-List-3-UNum">
    <w:name w:val="EMR-Form-List-3-UNum"/>
    <w:basedOn w:val="EMR-Form-Para"/>
    <w:uiPriority w:val="99"/>
    <w:pPr>
      <w:ind w:left="2268"/>
    </w:pPr>
  </w:style>
  <w:style w:type="paragraph" w:customStyle="1" w:styleId="EMR-Form-List-4-UNum">
    <w:name w:val="EMR-Form-List-4-UNum"/>
    <w:basedOn w:val="EMR-Form-Para"/>
    <w:uiPriority w:val="99"/>
    <w:pPr>
      <w:ind w:left="2835"/>
    </w:pPr>
  </w:style>
  <w:style w:type="paragraph" w:customStyle="1" w:styleId="EMR-Form-List-1-MNum">
    <w:name w:val="EMR-Form-List-1-MNum"/>
    <w:basedOn w:val="EMR-Form-List-1-UNum"/>
    <w:uiPriority w:val="99"/>
    <w:pPr>
      <w:ind w:left="1701" w:hanging="567"/>
    </w:pPr>
  </w:style>
  <w:style w:type="paragraph" w:customStyle="1" w:styleId="EMR-Form-List-2-MNum">
    <w:name w:val="EMR-Form-List-2-MNum"/>
    <w:basedOn w:val="EMR-Form-List-2-UNum"/>
    <w:uiPriority w:val="99"/>
    <w:pPr>
      <w:ind w:left="2268" w:hanging="567"/>
    </w:pPr>
  </w:style>
  <w:style w:type="paragraph" w:customStyle="1" w:styleId="EMR-Form-List-3-MNum">
    <w:name w:val="EMR-Form-List-3-MNum"/>
    <w:basedOn w:val="EMR-Form-List-3-UNum"/>
    <w:uiPriority w:val="99"/>
    <w:pPr>
      <w:ind w:left="2835" w:hanging="567"/>
    </w:pPr>
  </w:style>
  <w:style w:type="paragraph" w:customStyle="1" w:styleId="EMR-Form-List-4-MNum">
    <w:name w:val="EMR-Form-List-4-MNum"/>
    <w:basedOn w:val="EMR-Form-List-4-UNum"/>
    <w:uiPriority w:val="99"/>
    <w:pPr>
      <w:ind w:left="3402" w:hanging="567"/>
    </w:pPr>
  </w:style>
  <w:style w:type="paragraph" w:customStyle="1" w:styleId="EMR-Form-List-1-bull">
    <w:name w:val="EMR-Form-List-1-bull"/>
    <w:basedOn w:val="EMR-Form-List-1-MNum"/>
    <w:uiPriority w:val="99"/>
  </w:style>
  <w:style w:type="paragraph" w:customStyle="1" w:styleId="EMR-Form-List-2-bull">
    <w:name w:val="EMR-Form-List-2-bull"/>
    <w:basedOn w:val="EMR-Form-List-2-MNum"/>
    <w:uiPriority w:val="99"/>
  </w:style>
  <w:style w:type="paragraph" w:customStyle="1" w:styleId="EMR-Form-List-3-bull">
    <w:name w:val="EMR-Form-List-3-bull"/>
    <w:basedOn w:val="EMR-Form-List-3-MNum"/>
    <w:uiPriority w:val="99"/>
  </w:style>
  <w:style w:type="paragraph" w:customStyle="1" w:styleId="EMR-Form-List-4-bull">
    <w:name w:val="EMR-Form-List-4-bull"/>
    <w:basedOn w:val="EMR-Form-List-4-MNum"/>
    <w:uiPriority w:val="99"/>
  </w:style>
  <w:style w:type="paragraph" w:customStyle="1" w:styleId="Box-Para-Centred">
    <w:name w:val="Box-Para-Centred"/>
    <w:basedOn w:val="Box-Para"/>
    <w:uiPriority w:val="99"/>
    <w:pPr>
      <w:numPr>
        <w:numId w:val="3"/>
      </w:numPr>
      <w:ind w:left="0" w:firstLine="0"/>
      <w:jc w:val="center"/>
    </w:pPr>
  </w:style>
  <w:style w:type="paragraph" w:customStyle="1" w:styleId="Box-Para-Right">
    <w:name w:val="Box-Para-Right"/>
    <w:basedOn w:val="Box-Para"/>
    <w:uiPriority w:val="99"/>
    <w:pPr>
      <w:numPr>
        <w:numId w:val="3"/>
      </w:numPr>
      <w:ind w:left="0" w:firstLine="0"/>
      <w:jc w:val="right"/>
    </w:pPr>
  </w:style>
  <w:style w:type="paragraph" w:customStyle="1" w:styleId="Dr-Note-public-Para-Centred">
    <w:name w:val="Dr-Note-public-Para-Centred"/>
    <w:basedOn w:val="Dr-Note-public-Para"/>
    <w:uiPriority w:val="99"/>
    <w:pPr>
      <w:numPr>
        <w:numId w:val="3"/>
      </w:numPr>
      <w:ind w:left="0" w:firstLine="0"/>
      <w:jc w:val="center"/>
    </w:pPr>
  </w:style>
  <w:style w:type="paragraph" w:customStyle="1" w:styleId="Dr-Note-public-Para-Right">
    <w:name w:val="Dr-Note-public-Para-Right"/>
    <w:basedOn w:val="Dr-Note-public-Para"/>
    <w:uiPriority w:val="99"/>
    <w:pPr>
      <w:jc w:val="right"/>
    </w:pPr>
  </w:style>
  <w:style w:type="paragraph" w:customStyle="1" w:styleId="Dr-Note-internal-Para-Centred">
    <w:name w:val="Dr-Note-internal-Para-Centred"/>
    <w:basedOn w:val="Dr-Note-internal-Para"/>
    <w:uiPriority w:val="99"/>
    <w:pPr>
      <w:jc w:val="center"/>
    </w:pPr>
  </w:style>
  <w:style w:type="paragraph" w:customStyle="1" w:styleId="Dr-Note-internal-Para-Right">
    <w:name w:val="Dr-Note-internal-Para-Right"/>
    <w:basedOn w:val="Dr-Note-internal-Para"/>
    <w:uiPriority w:val="99"/>
    <w:pPr>
      <w:jc w:val="right"/>
    </w:pPr>
  </w:style>
  <w:style w:type="paragraph" w:customStyle="1" w:styleId="Eqn-Para-Centred">
    <w:name w:val="Eqn-Para-Centred"/>
    <w:basedOn w:val="Eqn-Para"/>
    <w:uiPriority w:val="99"/>
    <w:pPr>
      <w:jc w:val="center"/>
    </w:pPr>
  </w:style>
  <w:style w:type="paragraph" w:customStyle="1" w:styleId="Eqn-Para-Right">
    <w:name w:val="Eqn-Para-Right"/>
    <w:basedOn w:val="Eqn-Para"/>
    <w:uiPriority w:val="99"/>
    <w:pPr>
      <w:jc w:val="right"/>
    </w:pPr>
  </w:style>
  <w:style w:type="paragraph" w:customStyle="1" w:styleId="Example-Para-Centred">
    <w:name w:val="Example-Para-Centred"/>
    <w:basedOn w:val="Example-Para"/>
    <w:uiPriority w:val="99"/>
    <w:pPr>
      <w:numPr>
        <w:numId w:val="6"/>
      </w:numPr>
      <w:ind w:left="0" w:firstLine="0"/>
      <w:jc w:val="center"/>
    </w:pPr>
  </w:style>
  <w:style w:type="paragraph" w:customStyle="1" w:styleId="Example-Para-Right">
    <w:name w:val="Example-Para-Right"/>
    <w:basedOn w:val="Example-Para"/>
    <w:uiPriority w:val="99"/>
    <w:pPr>
      <w:jc w:val="right"/>
    </w:pPr>
  </w:style>
  <w:style w:type="paragraph" w:customStyle="1" w:styleId="Explain-Para-Centred">
    <w:name w:val="Explain-Para-Centred"/>
    <w:basedOn w:val="Explain-Para"/>
    <w:uiPriority w:val="99"/>
    <w:pPr>
      <w:jc w:val="center"/>
    </w:pPr>
  </w:style>
  <w:style w:type="paragraph" w:customStyle="1" w:styleId="Explain-Para-Right">
    <w:name w:val="Explain-Para-Right"/>
    <w:basedOn w:val="Explain-Para"/>
    <w:uiPriority w:val="99"/>
    <w:pPr>
      <w:jc w:val="right"/>
    </w:pPr>
  </w:style>
  <w:style w:type="paragraph" w:customStyle="1" w:styleId="Inclusion-Std-Para-Centred">
    <w:name w:val="Inclusion-Std-Para-Centred"/>
    <w:basedOn w:val="Inclusion-Std-Para"/>
    <w:uiPriority w:val="99"/>
    <w:pPr>
      <w:numPr>
        <w:numId w:val="5"/>
      </w:numPr>
      <w:ind w:left="0" w:firstLine="0"/>
      <w:jc w:val="center"/>
    </w:pPr>
  </w:style>
  <w:style w:type="paragraph" w:customStyle="1" w:styleId="Inclusion-Std-Para-Right">
    <w:name w:val="Inclusion-Std-Para-Right"/>
    <w:basedOn w:val="Inclusion-Std-Para"/>
    <w:uiPriority w:val="99"/>
    <w:pPr>
      <w:jc w:val="right"/>
    </w:pPr>
  </w:style>
  <w:style w:type="paragraph" w:customStyle="1" w:styleId="Question-Para-Centred">
    <w:name w:val="Question-Para-Centred"/>
    <w:basedOn w:val="Question-Para"/>
    <w:uiPriority w:val="99"/>
    <w:pPr>
      <w:numPr>
        <w:numId w:val="4"/>
      </w:numPr>
      <w:jc w:val="center"/>
    </w:pPr>
  </w:style>
  <w:style w:type="paragraph" w:customStyle="1" w:styleId="Question-Para-Right">
    <w:name w:val="Question-Para-Right"/>
    <w:basedOn w:val="Question-Para"/>
    <w:uiPriority w:val="99"/>
    <w:pPr>
      <w:jc w:val="right"/>
    </w:pPr>
  </w:style>
  <w:style w:type="paragraph" w:customStyle="1" w:styleId="Source-Note-Para-Centred">
    <w:name w:val="Source-Note-Para-Centred"/>
    <w:basedOn w:val="Source-Note-Para"/>
    <w:uiPriority w:val="99"/>
    <w:pPr>
      <w:jc w:val="center"/>
    </w:pPr>
  </w:style>
  <w:style w:type="paragraph" w:customStyle="1" w:styleId="Source-Note-Para-Right">
    <w:name w:val="Source-Note-Para-Right"/>
    <w:basedOn w:val="Source-Note-Para-Centred"/>
    <w:uiPriority w:val="99"/>
    <w:pPr>
      <w:jc w:val="right"/>
    </w:pPr>
  </w:style>
  <w:style w:type="paragraph" w:customStyle="1" w:styleId="Tmp-Instr-Para-Centred">
    <w:name w:val="Tmp-Instr-Para-Centred"/>
    <w:basedOn w:val="Tmp-Instr-Para"/>
    <w:uiPriority w:val="99"/>
    <w:pPr>
      <w:numPr>
        <w:numId w:val="7"/>
      </w:numPr>
      <w:ind w:left="0" w:firstLine="0"/>
      <w:jc w:val="center"/>
    </w:pPr>
  </w:style>
  <w:style w:type="paragraph" w:customStyle="1" w:styleId="Tmp-Instr-Para-Right">
    <w:name w:val="Tmp-Instr-Para-Right"/>
    <w:basedOn w:val="Tmp-Instr-Para-Centred"/>
    <w:uiPriority w:val="99"/>
    <w:pPr>
      <w:jc w:val="right"/>
    </w:pPr>
  </w:style>
  <w:style w:type="paragraph" w:customStyle="1" w:styleId="Am-NER-Body-Para-Centred">
    <w:name w:val="Am-NER-Body-Para-Centred"/>
    <w:basedOn w:val="Am-NER-Body-Para"/>
    <w:uiPriority w:val="99"/>
    <w:pPr>
      <w:jc w:val="center"/>
    </w:pPr>
  </w:style>
  <w:style w:type="paragraph" w:customStyle="1" w:styleId="Am-NER-Body-Para-Right">
    <w:name w:val="Am-NER-Body-Para-Right"/>
    <w:basedOn w:val="Am-NER-Body-Para"/>
    <w:uiPriority w:val="99"/>
    <w:pPr>
      <w:jc w:val="right"/>
    </w:pPr>
  </w:style>
  <w:style w:type="paragraph" w:customStyle="1" w:styleId="Am-NER-Para-Centred">
    <w:name w:val="Am-NER-Para-Centred"/>
    <w:basedOn w:val="Am-NER-Para"/>
    <w:uiPriority w:val="99"/>
    <w:pPr>
      <w:jc w:val="center"/>
    </w:pPr>
  </w:style>
  <w:style w:type="paragraph" w:customStyle="1" w:styleId="Am-NER-Para-Right">
    <w:name w:val="Am-NER-Para-Right"/>
    <w:basedOn w:val="Am-NER-Para"/>
    <w:uiPriority w:val="99"/>
    <w:pPr>
      <w:jc w:val="right"/>
    </w:pPr>
  </w:style>
  <w:style w:type="paragraph" w:customStyle="1" w:styleId="NER-RC-Para-Centred">
    <w:name w:val="NER-RC-Para-Centred"/>
    <w:basedOn w:val="NER-RC-Para"/>
    <w:uiPriority w:val="99"/>
    <w:pPr>
      <w:jc w:val="center"/>
    </w:pPr>
  </w:style>
  <w:style w:type="paragraph" w:customStyle="1" w:styleId="NER-RC-Para-Right">
    <w:name w:val="NER-RC-Para-Right"/>
    <w:basedOn w:val="NER-RC-Para"/>
    <w:uiPriority w:val="99"/>
    <w:pPr>
      <w:jc w:val="right"/>
    </w:pPr>
  </w:style>
  <w:style w:type="paragraph" w:customStyle="1" w:styleId="NER-Eqn-Para-Centred">
    <w:name w:val="NER-Eqn-Para-Centred"/>
    <w:basedOn w:val="NER-Eqn-Para"/>
    <w:uiPriority w:val="99"/>
    <w:pPr>
      <w:jc w:val="center"/>
    </w:pPr>
  </w:style>
  <w:style w:type="paragraph" w:customStyle="1" w:styleId="NER-Eqn-Para-Right">
    <w:name w:val="NER-Eqn-Para-Right"/>
    <w:basedOn w:val="NER-Eqn-Para"/>
    <w:uiPriority w:val="99"/>
    <w:pPr>
      <w:jc w:val="right"/>
    </w:pPr>
  </w:style>
  <w:style w:type="paragraph" w:customStyle="1" w:styleId="NER-Example-Para-Centred">
    <w:name w:val="NER-Example-Para-Centred"/>
    <w:basedOn w:val="NER-Example-Para"/>
    <w:uiPriority w:val="99"/>
    <w:pPr>
      <w:jc w:val="center"/>
    </w:pPr>
  </w:style>
  <w:style w:type="paragraph" w:customStyle="1" w:styleId="NER-Example-Para-Right">
    <w:name w:val="NER-Example-Para-Right"/>
    <w:basedOn w:val="NER-Example-Para"/>
    <w:uiPriority w:val="99"/>
    <w:pPr>
      <w:jc w:val="right"/>
    </w:pPr>
  </w:style>
  <w:style w:type="paragraph" w:customStyle="1" w:styleId="NER-Form-Para-Centred">
    <w:name w:val="NER-Form-Para-Centred"/>
    <w:basedOn w:val="NER-Form-Para"/>
    <w:uiPriority w:val="99"/>
    <w:pPr>
      <w:jc w:val="center"/>
    </w:pPr>
  </w:style>
  <w:style w:type="paragraph" w:customStyle="1" w:styleId="NER-Form-Para-Right">
    <w:name w:val="NER-Form-Para-Right"/>
    <w:basedOn w:val="NER-Form-Para"/>
    <w:uiPriority w:val="99"/>
    <w:pPr>
      <w:jc w:val="right"/>
    </w:pPr>
  </w:style>
  <w:style w:type="paragraph" w:customStyle="1" w:styleId="NER-Explain-Para-Centred">
    <w:name w:val="NER-Explain-Para-Centred"/>
    <w:basedOn w:val="NER-Explain-Para"/>
    <w:uiPriority w:val="99"/>
    <w:pPr>
      <w:jc w:val="center"/>
    </w:pPr>
  </w:style>
  <w:style w:type="paragraph" w:customStyle="1" w:styleId="NER-Explain-Para-Right">
    <w:name w:val="NER-Explain-Para-Right"/>
    <w:basedOn w:val="NER-Explain-Para"/>
    <w:uiPriority w:val="99"/>
    <w:pPr>
      <w:jc w:val="right"/>
    </w:pPr>
  </w:style>
  <w:style w:type="paragraph" w:customStyle="1" w:styleId="NER-Source-Note-Para-Centred">
    <w:name w:val="NER-Source-Note-Para-Centred"/>
    <w:basedOn w:val="NER-Source-Note-Para"/>
    <w:uiPriority w:val="99"/>
    <w:pPr>
      <w:jc w:val="center"/>
    </w:pPr>
  </w:style>
  <w:style w:type="paragraph" w:customStyle="1" w:styleId="NER-Source-Note-Para-Right">
    <w:name w:val="NER-Source-Note-Para-Right"/>
    <w:basedOn w:val="NER-Source-Note-Para"/>
    <w:uiPriority w:val="99"/>
    <w:pPr>
      <w:jc w:val="right"/>
    </w:pPr>
  </w:style>
  <w:style w:type="paragraph" w:customStyle="1" w:styleId="Am-EMR-Body-Para-Centred">
    <w:name w:val="Am-EMR-Body-Para-Centred"/>
    <w:basedOn w:val="Am-EMR-Body-Para"/>
    <w:uiPriority w:val="99"/>
    <w:pPr>
      <w:jc w:val="center"/>
    </w:pPr>
  </w:style>
  <w:style w:type="paragraph" w:customStyle="1" w:styleId="Am-EMR-Body-Para-Right">
    <w:name w:val="Am-EMR-Body-Para-Right"/>
    <w:basedOn w:val="Am-EMR-Body-Para"/>
    <w:uiPriority w:val="99"/>
    <w:pPr>
      <w:jc w:val="right"/>
    </w:pPr>
  </w:style>
  <w:style w:type="paragraph" w:customStyle="1" w:styleId="Am-EMR-Para-Centred">
    <w:name w:val="Am-EMR-Para-Centred"/>
    <w:basedOn w:val="Am-EMR-Para"/>
    <w:uiPriority w:val="99"/>
    <w:pPr>
      <w:jc w:val="center"/>
    </w:pPr>
  </w:style>
  <w:style w:type="paragraph" w:customStyle="1" w:styleId="Am-EMR-Para-Right">
    <w:name w:val="Am-EMR-Para-Right"/>
    <w:basedOn w:val="Am-EMR-Para"/>
    <w:uiPriority w:val="99"/>
    <w:pPr>
      <w:jc w:val="right"/>
    </w:pPr>
  </w:style>
  <w:style w:type="paragraph" w:customStyle="1" w:styleId="EMR-RSR-Para-Centred">
    <w:name w:val="EMR-RSR-Para-Centred"/>
    <w:basedOn w:val="EMR-RSR-Para"/>
    <w:uiPriority w:val="99"/>
    <w:pPr>
      <w:jc w:val="center"/>
    </w:pPr>
  </w:style>
  <w:style w:type="paragraph" w:customStyle="1" w:styleId="EMR-RSR-Para-Right">
    <w:name w:val="EMR-RSR-Para-Right"/>
    <w:basedOn w:val="EMR-RSR-Para"/>
    <w:uiPriority w:val="99"/>
    <w:pPr>
      <w:jc w:val="right"/>
    </w:pPr>
  </w:style>
  <w:style w:type="paragraph" w:customStyle="1" w:styleId="EMR-Eqn-Para-Centred">
    <w:name w:val="EMR-Eqn-Para-Centred"/>
    <w:basedOn w:val="EMR-Eqn-Para"/>
    <w:uiPriority w:val="99"/>
    <w:pPr>
      <w:jc w:val="center"/>
    </w:pPr>
  </w:style>
  <w:style w:type="paragraph" w:customStyle="1" w:styleId="EMR-Eqn-Para-Right">
    <w:name w:val="EMR-Eqn-Para-Right"/>
    <w:basedOn w:val="EMR-Eqn-Para"/>
    <w:uiPriority w:val="99"/>
    <w:pPr>
      <w:jc w:val="right"/>
    </w:pPr>
  </w:style>
  <w:style w:type="paragraph" w:customStyle="1" w:styleId="EMR-Example-Para-Centred">
    <w:name w:val="EMR-Example-Para-Centred"/>
    <w:basedOn w:val="EMR-Example-Para"/>
    <w:uiPriority w:val="99"/>
    <w:pPr>
      <w:jc w:val="center"/>
    </w:pPr>
  </w:style>
  <w:style w:type="paragraph" w:customStyle="1" w:styleId="EMR-Example-Para-Right">
    <w:name w:val="EMR-Example-Para-Right"/>
    <w:basedOn w:val="EMR-Example-Para"/>
    <w:uiPriority w:val="99"/>
    <w:pPr>
      <w:jc w:val="right"/>
    </w:pPr>
  </w:style>
  <w:style w:type="paragraph" w:customStyle="1" w:styleId="EMR-Form-Para-Centred">
    <w:name w:val="EMR-Form-Para-Centred"/>
    <w:basedOn w:val="EMR-Form-Para"/>
    <w:uiPriority w:val="99"/>
    <w:pPr>
      <w:jc w:val="center"/>
    </w:pPr>
  </w:style>
  <w:style w:type="paragraph" w:customStyle="1" w:styleId="EMR-Form-Para-Right">
    <w:name w:val="EMR-Form-Para-Right"/>
    <w:basedOn w:val="EMR-Form-Para"/>
    <w:uiPriority w:val="99"/>
    <w:pPr>
      <w:jc w:val="right"/>
    </w:pPr>
  </w:style>
  <w:style w:type="paragraph" w:customStyle="1" w:styleId="EMR-Explain-Para-Centred">
    <w:name w:val="EMR-Explain-Para-Centred"/>
    <w:basedOn w:val="EMR-Explain-Para"/>
    <w:uiPriority w:val="99"/>
    <w:pPr>
      <w:jc w:val="center"/>
    </w:pPr>
  </w:style>
  <w:style w:type="paragraph" w:customStyle="1" w:styleId="EMR-Explain-Para-Right">
    <w:name w:val="EMR-Explain-Para-Right"/>
    <w:basedOn w:val="EMR-Explain-Para"/>
    <w:uiPriority w:val="99"/>
    <w:pPr>
      <w:jc w:val="right"/>
    </w:pPr>
  </w:style>
  <w:style w:type="paragraph" w:customStyle="1" w:styleId="EMR-Source-Note-Para-Centred">
    <w:name w:val="EMR-Source-Note-Para-Centred"/>
    <w:basedOn w:val="EMR-Source-Note-Para"/>
    <w:uiPriority w:val="99"/>
    <w:pPr>
      <w:jc w:val="center"/>
    </w:pPr>
  </w:style>
  <w:style w:type="paragraph" w:customStyle="1" w:styleId="EMR-Source-Note-Para-Right">
    <w:name w:val="EMR-Source-Note-Para-Right"/>
    <w:basedOn w:val="EMR-Source-Note-Para"/>
    <w:uiPriority w:val="99"/>
    <w:pPr>
      <w:jc w:val="right"/>
    </w:pPr>
  </w:style>
  <w:style w:type="paragraph" w:customStyle="1" w:styleId="EMR-Subrule-Title">
    <w:name w:val="EMR-Subrule-Title"/>
    <w:basedOn w:val="Base-EMR-RSR-Para"/>
    <w:uiPriority w:val="99"/>
    <w:pPr>
      <w:keepNext/>
      <w:keepLines/>
      <w:spacing w:before="240" w:after="60"/>
      <w:ind w:hanging="567"/>
      <w:jc w:val="left"/>
    </w:pPr>
  </w:style>
  <w:style w:type="character" w:customStyle="1" w:styleId="EM-Bold">
    <w:name w:val="EM-Bold"/>
    <w:uiPriority w:val="99"/>
    <w:rPr>
      <w:b/>
      <w:bCs/>
      <w:w w:val="100"/>
    </w:rPr>
  </w:style>
  <w:style w:type="character" w:customStyle="1" w:styleId="EM-Italic">
    <w:name w:val="EM-Italic"/>
    <w:uiPriority w:val="99"/>
    <w:rPr>
      <w:i/>
      <w:iCs/>
      <w:w w:val="100"/>
    </w:rPr>
  </w:style>
  <w:style w:type="character" w:customStyle="1" w:styleId="Superscript">
    <w:name w:val="Superscript"/>
    <w:uiPriority w:val="99"/>
    <w:rPr>
      <w:w w:val="100"/>
      <w:position w:val="4"/>
      <w:sz w:val="14"/>
      <w:szCs w:val="14"/>
    </w:rPr>
  </w:style>
  <w:style w:type="character" w:customStyle="1" w:styleId="Subscript">
    <w:name w:val="Subscript"/>
    <w:uiPriority w:val="99"/>
    <w:rPr>
      <w:w w:val="100"/>
      <w:position w:val="-2"/>
      <w:sz w:val="14"/>
      <w:szCs w:val="14"/>
    </w:rPr>
  </w:style>
  <w:style w:type="character" w:customStyle="1" w:styleId="Term">
    <w:name w:val="Term"/>
    <w:uiPriority w:val="99"/>
    <w:rPr>
      <w:w w:val="100"/>
    </w:rPr>
  </w:style>
  <w:style w:type="character" w:customStyle="1" w:styleId="Abbr-Term">
    <w:name w:val="Abbr-Term"/>
    <w:uiPriority w:val="99"/>
    <w:rPr>
      <w:w w:val="100"/>
    </w:rPr>
  </w:style>
  <w:style w:type="character" w:customStyle="1" w:styleId="Chapter-Title-Text">
    <w:name w:val="Chapter-Title-Text"/>
    <w:uiPriority w:val="99"/>
    <w:rPr>
      <w:w w:val="100"/>
    </w:rPr>
  </w:style>
  <w:style w:type="character" w:customStyle="1" w:styleId="Insertion">
    <w:name w:val="Insertion"/>
    <w:uiPriority w:val="99"/>
    <w:rPr>
      <w:w w:val="100"/>
      <w:u w:val="single"/>
    </w:rPr>
  </w:style>
  <w:style w:type="character" w:customStyle="1" w:styleId="Deletion">
    <w:name w:val="Deletion"/>
    <w:uiPriority w:val="99"/>
    <w:rPr>
      <w:strike/>
      <w:w w:val="100"/>
    </w:rPr>
  </w:style>
  <w:style w:type="character" w:customStyle="1" w:styleId="Underline">
    <w:name w:val="Underline"/>
    <w:uiPriority w:val="99"/>
    <w:rPr>
      <w:w w:val="100"/>
      <w:u w:val="single"/>
    </w:rPr>
  </w:style>
  <w:style w:type="character" w:customStyle="1" w:styleId="Strikethrough">
    <w:name w:val="Strikethrough"/>
    <w:uiPriority w:val="99"/>
    <w:rPr>
      <w:rFonts w:ascii="Book Antiqua" w:hAnsi="Book Antiqua" w:cs="Book Antiqua"/>
      <w:strike/>
      <w:w w:val="100"/>
    </w:rPr>
  </w:style>
  <w:style w:type="character" w:customStyle="1" w:styleId="Document-Header-Char">
    <w:name w:val="Document-Header-Char"/>
    <w:uiPriority w:val="99"/>
    <w:rPr>
      <w:rFonts w:ascii="Arial" w:hAnsi="Arial" w:cs="Arial"/>
      <w:w w:val="100"/>
      <w:sz w:val="18"/>
      <w:szCs w:val="18"/>
    </w:rPr>
  </w:style>
  <w:style w:type="character" w:customStyle="1" w:styleId="Document-Footer-Char">
    <w:name w:val="Document-Footer-Char"/>
    <w:uiPriority w:val="99"/>
    <w:rPr>
      <w:rFonts w:ascii="Arial" w:hAnsi="Arial" w:cs="Arial"/>
      <w:w w:val="100"/>
      <w:sz w:val="18"/>
      <w:szCs w:val="18"/>
    </w:rPr>
  </w:style>
  <w:style w:type="character" w:customStyle="1" w:styleId="NER-Ch-Title-Text">
    <w:name w:val="NER-Ch-Title-Text"/>
    <w:uiPriority w:val="99"/>
    <w:rPr>
      <w:rFonts w:ascii="Arial Bold" w:hAnsi="Arial Bold" w:cs="Arial Bold"/>
      <w:b/>
      <w:bCs/>
      <w:w w:val="100"/>
      <w:sz w:val="32"/>
      <w:szCs w:val="32"/>
    </w:rPr>
  </w:style>
  <w:style w:type="character" w:customStyle="1" w:styleId="Outline-Lvl-Prefix-1-Text">
    <w:name w:val="Outline-Lvl-Prefix-1-Text"/>
    <w:uiPriority w:val="99"/>
    <w:rPr>
      <w:rFonts w:ascii="Arial Bold" w:hAnsi="Arial Bold" w:cs="Arial Bold"/>
      <w:b/>
      <w:bCs/>
      <w:w w:val="100"/>
      <w:sz w:val="28"/>
      <w:szCs w:val="28"/>
    </w:rPr>
  </w:style>
  <w:style w:type="character" w:customStyle="1" w:styleId="NER-Term-Local">
    <w:name w:val="NER-Term-Local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First-Use-Global">
    <w:name w:val="NER-Term-First-Use-Global"/>
    <w:uiPriority w:val="99"/>
    <w:rPr>
      <w:w w:val="100"/>
    </w:rPr>
  </w:style>
  <w:style w:type="character" w:customStyle="1" w:styleId="NER-Def-Term">
    <w:name w:val="NER-Def-Term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ascii="Book Antiqua" w:hAnsi="Book Antiqua" w:cs="Book Antiqua"/>
      <w:w w:val="100"/>
      <w:position w:val="6"/>
      <w:sz w:val="18"/>
      <w:szCs w:val="18"/>
    </w:rPr>
  </w:style>
  <w:style w:type="character" w:customStyle="1" w:styleId="Elk-Section-Debug">
    <w:name w:val="Elk-Section-Debug"/>
    <w:uiPriority w:val="99"/>
    <w:rPr>
      <w:color w:val="FF0000"/>
      <w:w w:val="100"/>
      <w:sz w:val="2"/>
      <w:szCs w:val="2"/>
    </w:rPr>
  </w:style>
  <w:style w:type="character" w:customStyle="1" w:styleId="NER-Term-First-Use-Chapter">
    <w:name w:val="NER-Term-First-Use-Chapter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Table-List-Def-Local">
    <w:name w:val="NER-Term-Table-List-Def-Local"/>
    <w:uiPriority w:val="99"/>
    <w:rPr>
      <w:b/>
      <w:bCs/>
      <w:w w:val="100"/>
    </w:rPr>
  </w:style>
  <w:style w:type="character" w:customStyle="1" w:styleId="NER-Cl-Num-Text">
    <w:name w:val="NER-Cl-Num-Text"/>
    <w:uiPriority w:val="99"/>
    <w:rPr>
      <w:rFonts w:ascii="Arial Bold" w:hAnsi="Arial Bold" w:cs="Arial Bold"/>
      <w:b/>
      <w:bCs/>
      <w:w w:val="100"/>
      <w:sz w:val="24"/>
      <w:szCs w:val="24"/>
    </w:rPr>
  </w:style>
  <w:style w:type="character" w:customStyle="1" w:styleId="EMR-Term-Global">
    <w:name w:val="EMR-Term-Global"/>
    <w:uiPriority w:val="99"/>
    <w:rPr>
      <w:b/>
      <w:bCs/>
      <w:i/>
      <w:iCs/>
      <w:w w:val="100"/>
    </w:rPr>
  </w:style>
  <w:style w:type="character" w:customStyle="1" w:styleId="EMR-Doc-Version-Text">
    <w:name w:val="EMR-Doc-Version-Text"/>
    <w:uiPriority w:val="99"/>
    <w:rPr>
      <w:rFonts w:ascii="Arial" w:hAnsi="Arial" w:cs="Arial"/>
      <w:b/>
      <w:bCs/>
      <w:w w:val="100"/>
      <w:sz w:val="52"/>
      <w:szCs w:val="52"/>
    </w:rPr>
  </w:style>
  <w:style w:type="character" w:customStyle="1" w:styleId="EMR-Term-First-Use-Global">
    <w:name w:val="EMR-Term-First-Use-Global"/>
    <w:uiPriority w:val="99"/>
    <w:rPr>
      <w:w w:val="100"/>
    </w:rPr>
  </w:style>
  <w:style w:type="character" w:customStyle="1" w:styleId="EMR-Def-Term">
    <w:name w:val="EMR-Def-Term"/>
    <w:uiPriority w:val="99"/>
    <w:rPr>
      <w:b/>
      <w:bCs/>
      <w:w w:val="100"/>
    </w:rPr>
  </w:style>
  <w:style w:type="character" w:customStyle="1" w:styleId="EMR-Term-Local">
    <w:name w:val="EMR-Term-Local"/>
    <w:uiPriority w:val="99"/>
    <w:rPr>
      <w:b/>
      <w:bCs/>
      <w:w w:val="100"/>
    </w:rPr>
  </w:style>
  <w:style w:type="character" w:customStyle="1" w:styleId="EMR-Term-Table-List-Def-Local">
    <w:name w:val="EMR-Term-Table-List-Def-Local"/>
    <w:uiPriority w:val="99"/>
    <w:rPr>
      <w:b/>
      <w:bCs/>
      <w:w w:val="100"/>
    </w:rPr>
  </w:style>
  <w:style w:type="character" w:customStyle="1" w:styleId="EMR-Pt-Title-Text">
    <w:name w:val="EMR-Pt-Title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Part">
    <w:name w:val="EMR-Term-Part"/>
    <w:uiPriority w:val="99"/>
    <w:rPr>
      <w:b/>
      <w:bCs/>
      <w:w w:val="100"/>
    </w:rPr>
  </w:style>
  <w:style w:type="character" w:customStyle="1" w:styleId="EMR-Term-First-Use-Part">
    <w:name w:val="EMR-Term-First-Use-Part"/>
    <w:uiPriority w:val="99"/>
    <w:rPr>
      <w:b/>
      <w:bCs/>
      <w:w w:val="100"/>
    </w:rPr>
  </w:style>
  <w:style w:type="character" w:customStyle="1" w:styleId="EMR-Term-Part-First">
    <w:name w:val="EMR-Term-Part-First"/>
    <w:uiPriority w:val="99"/>
    <w:rPr>
      <w:b/>
      <w:bCs/>
      <w:w w:val="100"/>
    </w:rPr>
  </w:style>
  <w:style w:type="character" w:customStyle="1" w:styleId="EMR-Pt-Num-Text">
    <w:name w:val="EMR-Pt-Num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Inline">
    <w:name w:val="EMR-Term-Inline"/>
    <w:uiPriority w:val="99"/>
    <w:rPr>
      <w:b/>
      <w:bCs/>
      <w:w w:val="100"/>
    </w:rPr>
  </w:style>
  <w:style w:type="character" w:customStyle="1" w:styleId="NER-Term-Inline">
    <w:name w:val="NER-Term-Inline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Citation">
    <w:name w:val="Citation"/>
    <w:uiPriority w:val="99"/>
    <w:rPr>
      <w:i/>
      <w:iCs/>
      <w:w w:val="100"/>
    </w:rPr>
  </w:style>
  <w:style w:type="character" w:customStyle="1" w:styleId="Reference">
    <w:name w:val="Reference"/>
    <w:uiPriority w:val="99"/>
    <w:rPr>
      <w:w w:val="100"/>
    </w:rPr>
  </w:style>
  <w:style w:type="character" w:customStyle="1" w:styleId="Address">
    <w:name w:val="Address"/>
    <w:uiPriority w:val="99"/>
    <w:rPr>
      <w:w w:val="100"/>
    </w:rPr>
  </w:style>
  <w:style w:type="character" w:customStyle="1" w:styleId="Date-in-line">
    <w:name w:val="Date-in-line"/>
    <w:uiPriority w:val="99"/>
    <w:rPr>
      <w:w w:val="100"/>
    </w:rPr>
  </w:style>
  <w:style w:type="character" w:customStyle="1" w:styleId="Phrase-technical">
    <w:name w:val="Phrase-technical"/>
    <w:uiPriority w:val="99"/>
    <w:rPr>
      <w:i/>
      <w:iCs/>
      <w:w w:val="100"/>
    </w:rPr>
  </w:style>
  <w:style w:type="character" w:customStyle="1" w:styleId="Phrase-foreign">
    <w:name w:val="Phrase-foreign"/>
    <w:uiPriority w:val="99"/>
    <w:rPr>
      <w:i/>
      <w:iCs/>
      <w:w w:val="100"/>
    </w:rPr>
  </w:style>
  <w:style w:type="character" w:customStyle="1" w:styleId="Note-in-line">
    <w:name w:val="Note-in-line"/>
    <w:uiPriority w:val="99"/>
    <w:rPr>
      <w:i/>
      <w:iCs/>
      <w:w w:val="100"/>
    </w:rPr>
  </w:style>
  <w:style w:type="character" w:customStyle="1" w:styleId="Name">
    <w:name w:val="Name"/>
    <w:uiPriority w:val="99"/>
    <w:rPr>
      <w:w w:val="100"/>
    </w:rPr>
  </w:style>
  <w:style w:type="character" w:customStyle="1" w:styleId="NER-Term-Chapter-Text">
    <w:name w:val="NER-Term-Chapter-Text"/>
    <w:uiPriority w:val="99"/>
    <w:rPr>
      <w:b/>
      <w:bCs/>
      <w:w w:val="100"/>
    </w:rPr>
  </w:style>
  <w:style w:type="character" w:customStyle="1" w:styleId="NER-Global-Term-Ref">
    <w:name w:val="NER-Global-Term-Ref"/>
    <w:uiPriority w:val="99"/>
    <w:rPr>
      <w:i/>
      <w:iCs/>
      <w:w w:val="100"/>
    </w:rPr>
  </w:style>
  <w:style w:type="character" w:customStyle="1" w:styleId="EMR-Global-Term-Ref">
    <w:name w:val="EMR-Global-Term-Ref"/>
    <w:uiPriority w:val="99"/>
    <w:rPr>
      <w:i/>
      <w:iCs/>
      <w:w w:val="100"/>
    </w:rPr>
  </w:style>
  <w:style w:type="character" w:customStyle="1" w:styleId="NER-Term-Global-Text">
    <w:name w:val="NER-Term-Global-Text"/>
    <w:uiPriority w:val="99"/>
    <w:rPr>
      <w:b/>
      <w:bCs/>
      <w:i/>
      <w:iCs/>
      <w:w w:val="100"/>
    </w:rPr>
  </w:style>
  <w:style w:type="character" w:customStyle="1" w:styleId="NER-Eq-Term">
    <w:name w:val="NER-Eq-Term"/>
    <w:uiPriority w:val="99"/>
    <w:rPr>
      <w:w w:val="100"/>
    </w:rPr>
  </w:style>
  <w:style w:type="character" w:customStyle="1" w:styleId="EMR-Eq-Term">
    <w:name w:val="EMR-Eq-Term"/>
    <w:uiPriority w:val="99"/>
    <w:rPr>
      <w:w w:val="100"/>
    </w:rPr>
  </w:style>
  <w:style w:type="character" w:customStyle="1" w:styleId="ND-Eq-Term">
    <w:name w:val="ND-Eq-Term"/>
    <w:uiPriority w:val="99"/>
    <w:rPr>
      <w:w w:val="100"/>
    </w:rPr>
  </w:style>
  <w:style w:type="character" w:customStyle="1" w:styleId="StyleSubscriptBookAntiquaNotSuperscriptSubscript">
    <w:name w:val="Style Subscript + Book Antiqua Not Superscript/ Subscript"/>
    <w:uiPriority w:val="99"/>
    <w:rPr>
      <w:rFonts w:ascii="Book Antiqua" w:hAnsi="Book Antiqua" w:cs="Book Antiqua"/>
      <w:w w:val="100"/>
      <w:position w:val="-2"/>
      <w:sz w:val="14"/>
      <w:szCs w:val="14"/>
    </w:rPr>
  </w:style>
  <w:style w:type="character" w:customStyle="1" w:styleId="EMR-Subrule-Title-Text">
    <w:name w:val="EMR-Subrule-Title-Text"/>
    <w:uiPriority w:val="99"/>
    <w:rPr>
      <w:rFonts w:ascii="Arial" w:hAnsi="Arial" w:cs="Arial"/>
      <w:b/>
      <w:bCs/>
      <w:w w:val="100"/>
    </w:rPr>
  </w:style>
  <w:style w:type="character" w:styleId="LineNumber">
    <w:name w:val="line number"/>
    <w:basedOn w:val="DefaultParagraphFon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4EAB"/>
    <w:rPr>
      <w:vertAlign w:val="superscript"/>
    </w:rPr>
  </w:style>
  <w:style w:type="paragraph" w:customStyle="1" w:styleId="NER-Example-Table-Title-UNum">
    <w:name w:val="NER-Example-Table-Title-UNum"/>
    <w:basedOn w:val="NER-Example-Title-UNum"/>
    <w:qFormat/>
    <w:rsid w:val="00B61BC7"/>
    <w:pPr>
      <w:ind w:left="0"/>
    </w:pPr>
  </w:style>
  <w:style w:type="paragraph" w:customStyle="1" w:styleId="NER-Example-Table-Para">
    <w:name w:val="NER-Example-Table-Para"/>
    <w:basedOn w:val="NER-Example-Para"/>
    <w:qFormat/>
    <w:rsid w:val="00D7472F"/>
    <w:pPr>
      <w:ind w:left="0"/>
    </w:pPr>
  </w:style>
  <w:style w:type="paragraph" w:customStyle="1" w:styleId="NER-Explain-Table-Para">
    <w:name w:val="NER-Explain-Table-Para"/>
    <w:basedOn w:val="NER-Explain-Para"/>
    <w:qFormat/>
    <w:rsid w:val="00D7472F"/>
    <w:pPr>
      <w:ind w:left="0"/>
    </w:pPr>
  </w:style>
  <w:style w:type="paragraph" w:customStyle="1" w:styleId="NER-Explain-Table-Title-UNum">
    <w:name w:val="NER-Explain-Table-Title-UNum"/>
    <w:basedOn w:val="NER-Explain-Title-UNum"/>
    <w:qFormat/>
    <w:rsid w:val="00B61BC7"/>
    <w:pPr>
      <w:ind w:left="0"/>
    </w:p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1104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Quark Publishing Platform</dc:creator>
  <cp:lastModifiedBy>Quark Publishing Platform</cp:lastModifiedBy>
  <cp:revision>1</cp:revision>
  <dcterms:created xsi:type="dcterms:W3CDTF">2019-01-25T10:27:00Z</dcterms:created>
  <dcterms:modified xsi:type="dcterms:W3CDTF">2019-01-25T10:27:00Z</dcterms:modified>
</cp:coreProperties>
</file>