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5ac3962f-29d0-4726-b42b-a86ce55ae771"/>
      <w:bookmarkEnd w:id="0"/>
      <w:r>
        <w:t>Metering</w:t>
      </w:r>
    </w:p>
    <w:p>
      <w:pPr>
        <w:pStyle w:val="NER-Ch-Num"/>
      </w:pPr>
      <w:r>
        <w:t>CHAPTER 7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581"/>
          <w:cols w:space="720"/>
          <w:noEndnote/>
          <w:titlePg/>
        </w:sectPr>
      </w:pPr>
      <w:bookmarkStart w:id="1" w:name="GPSL_AU_INS CHAPTER 7"/>
      <w:bookmarkEnd w:id="1"/>
    </w:p>
    <w:p>
      <w:pPr>
        <w:pStyle w:val="NER-Ch-Title"/>
      </w:pPr>
      <w:bookmarkStart w:id="2" w:name="_Toc256000717"/>
      <w:r>
        <w:t>7.</w:t>
        <w:tab/>
      </w:r>
      <w:r>
        <w:t>Metering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but will take effect at a later date. </w:t>
      </w:r>
      <w:r>
        <w:t>Chapter 7A</w:t>
      </w:r>
      <w:r>
        <w:t xml:space="preserve"> applies in this jurisdiction from 1 July 2019 in substitution for this Chapter.</w:t>
      </w:r>
    </w:p>
    <w:p>
      <w:pPr>
        <w:pStyle w:val="NER-RC-Para"/>
      </w:pPr>
      <w:r>
        <w:t xml:space="preserve">Criteria for assessing when the transition to this Chapter will take effect will be considered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