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972c60b1-e3bd-426c-969b-5d4692ec2e93"/>
      <w:bookmarkEnd w:id="0"/>
      <w:bookmarkStart w:id="1" w:name="_Toc256000218"/>
      <w:r>
        <w:rPr>
          <w:rStyle w:val="EMR-Pt-Num-Text"/>
          <w:b/>
        </w:rPr>
        <w:t>Part 8A</w:t>
        <w:tab/>
      </w:r>
      <w:r>
        <w:rPr>
          <w:rStyle w:val="EMR-Pt-Title-Text"/>
          <w:b/>
        </w:rPr>
        <w:t>Electricity generation in the distribution system</w:t>
      </w:r>
      <w:bookmarkEnd w:id="1"/>
    </w:p>
    <w:p>
      <w:pPr>
        <w:pStyle w:val="EMR-Rule-Title-Lvl-2"/>
      </w:pPr>
      <w:bookmarkStart w:id="2" w:name="_Toc256000219"/>
      <w:r>
        <w:t>147A</w:t>
        <w:tab/>
      </w:r>
      <w:r>
        <w:t>Information about small generator connections - electricity</w:t>
      </w:r>
      <w:bookmarkEnd w:id="2"/>
    </w:p>
    <w:p>
      <w:pPr>
        <w:pStyle w:val="EMR-Subrule"/>
      </w:pPr>
      <w:r>
        <w:t>(1)</w:t>
        <w:tab/>
      </w:r>
      <w:r>
        <w:t>A distributor must publish the following information on its website, in the same location as the information published under rule 80:</w:t>
      </w:r>
    </w:p>
    <w:p>
      <w:pPr>
        <w:pStyle w:val="NER-RC-List-1-MNum"/>
      </w:pPr>
      <w:r>
        <w:t>(a)</w:t>
        <w:tab/>
      </w:r>
      <w:r>
        <w:t xml:space="preserve">information about safety and technical requirements applicable under energy laws to </w:t>
      </w:r>
      <w:r>
        <w:rPr>
          <w:i/>
        </w:rPr>
        <w:t>small generators</w:t>
      </w:r>
      <w:r>
        <w:t xml:space="preserve"> or the owners, operators or controllers of </w:t>
      </w:r>
      <w:r>
        <w:rPr>
          <w:i/>
        </w:rPr>
        <w:t>small generators</w:t>
      </w:r>
      <w:r>
        <w:t>;</w:t>
      </w:r>
    </w:p>
    <w:p>
      <w:pPr>
        <w:pStyle w:val="NER-RC-List-1-MNum"/>
      </w:pPr>
      <w:r>
        <w:t>(b)</w:t>
        <w:tab/>
      </w:r>
      <w:r>
        <w:t xml:space="preserve">information about requirements under energy laws for servicing and inspection of </w:t>
      </w:r>
      <w:r>
        <w:rPr>
          <w:i/>
        </w:rPr>
        <w:t>small generators</w:t>
      </w:r>
      <w:r>
        <w:t xml:space="preserve"> and the required qualifications for persons undertaking the work and requirements for the provision of information to the distributor about the results of those inspections;</w:t>
      </w:r>
    </w:p>
    <w:p>
      <w:pPr>
        <w:pStyle w:val="NER-RC-List-1-MNum"/>
      </w:pPr>
      <w:r>
        <w:t>(c)</w:t>
        <w:tab/>
      </w:r>
      <w:r>
        <w:t xml:space="preserve">information about requirements under energy laws (if any) relating to the installation of equipment for remote control of </w:t>
      </w:r>
      <w:r>
        <w:rPr>
          <w:i/>
        </w:rPr>
        <w:t>small generators</w:t>
      </w:r>
      <w:r>
        <w:rPr>
          <w:i/>
        </w:rPr>
        <w:t xml:space="preserve"> </w:t>
      </w:r>
      <w:r>
        <w:t>by the distributor or a third party;</w:t>
      </w:r>
    </w:p>
    <w:p>
      <w:pPr>
        <w:pStyle w:val="NER-RC-List-1-MNum"/>
      </w:pPr>
      <w:r>
        <w:t>(d)</w:t>
        <w:tab/>
      </w:r>
      <w:r>
        <w:t>a description of the circumstances in which remote control equipment may be used by the distributor or a third party and who the customer may contact if it considers settings on the equipment are incorrect or malfunctioning;</w:t>
      </w:r>
    </w:p>
    <w:p>
      <w:pPr>
        <w:pStyle w:val="NER-RC-List-1-MNum"/>
      </w:pPr>
      <w:r>
        <w:t>(e)</w:t>
        <w:tab/>
      </w:r>
      <w:r>
        <w:t xml:space="preserve">information about the use of data and information obtained from equipment for remote control of a </w:t>
      </w:r>
      <w:r>
        <w:rPr>
          <w:i/>
        </w:rPr>
        <w:t>small generator</w:t>
      </w:r>
      <w:r>
        <w:rPr>
          <w:i/>
        </w:rPr>
        <w:t xml:space="preserve"> </w:t>
      </w:r>
      <w:r>
        <w:t>by the distributor or a third party;</w:t>
      </w:r>
    </w:p>
    <w:p>
      <w:pPr>
        <w:pStyle w:val="NER-RC-List-1-MNum"/>
      </w:pPr>
      <w:r>
        <w:t>(f)</w:t>
        <w:tab/>
      </w:r>
      <w:r>
        <w:t xml:space="preserve">a description of other rights and obligations concerning the provision of supply services for taking supply from </w:t>
      </w:r>
      <w:r>
        <w:rPr>
          <w:i/>
        </w:rPr>
        <w:t>small generators</w:t>
      </w:r>
      <w:r>
        <w:t xml:space="preserve"> under the energy laws;</w:t>
      </w:r>
    </w:p>
    <w:p>
      <w:pPr>
        <w:pStyle w:val="NER-RC-List-1-MNum"/>
      </w:pPr>
      <w:r>
        <w:t>(g)</w:t>
        <w:tab/>
      </w:r>
      <w:r>
        <w:t>reference to the jurisdictional or other legislation and statutory instruments under which the requirements referred to in paragraphs (a) to (f) are imposed;</w:t>
      </w:r>
    </w:p>
    <w:p>
      <w:pPr>
        <w:pStyle w:val="NER-RC-List-1-MNum"/>
      </w:pPr>
      <w:r>
        <w:t>(h)</w:t>
        <w:tab/>
      </w:r>
      <w:r>
        <w:t xml:space="preserve">a description of the distributor’s arrangements for applying maximum export limits at connection points for </w:t>
      </w:r>
      <w:r>
        <w:rPr>
          <w:i/>
        </w:rPr>
        <w:t>small generators</w:t>
      </w:r>
      <w:r>
        <w:t xml:space="preserve"> and the circumstances in which a choice of maximum export limit is available; and</w:t>
      </w:r>
    </w:p>
    <w:p>
      <w:pPr>
        <w:pStyle w:val="NER-RC-List-1-MNum"/>
      </w:pPr>
      <w:r>
        <w:t>(i)</w:t>
        <w:tab/>
      </w:r>
      <w:r>
        <w:t xml:space="preserve">information about changing the maximum export limit at a connection point for a </w:t>
      </w:r>
      <w:r>
        <w:rPr>
          <w:i/>
        </w:rPr>
        <w:t>small generator</w:t>
      </w:r>
      <w:r>
        <w:t>, where a choice of limit is available.</w:t>
      </w:r>
    </w:p>
    <w:p>
      <w:pPr>
        <w:pStyle w:val="EMR-Subrule"/>
      </w:pPr>
      <w:r>
        <w:t>(2)</w:t>
        <w:tab/>
      </w:r>
      <w:r>
        <w:t>The information must be:</w:t>
      </w:r>
    </w:p>
    <w:p>
      <w:pPr>
        <w:pStyle w:val="NER-RC-List-1-MNum"/>
      </w:pPr>
      <w:r>
        <w:t>(a)</w:t>
        <w:tab/>
      </w:r>
      <w:r>
        <w:t>expressed in clear, simple and concise language;</w:t>
      </w:r>
    </w:p>
    <w:p>
      <w:pPr>
        <w:pStyle w:val="NER-RC-List-1-MNum"/>
      </w:pPr>
      <w:r>
        <w:t>(b)</w:t>
        <w:tab/>
      </w:r>
      <w:r>
        <w:t>in a format that makes it easy for a small customer to understand; and</w:t>
      </w:r>
    </w:p>
    <w:p>
      <w:pPr>
        <w:pStyle w:val="NER-RC-List-1-MNum"/>
      </w:pPr>
      <w:r>
        <w:t>(c)</w:t>
        <w:tab/>
      </w:r>
      <w:r>
        <w:t>consistent with the distributor’s deemed standard connection contract.</w:t>
      </w:r>
    </w:p>
    <w:p>
      <w:pPr>
        <w:pStyle w:val="EMR-Subrule"/>
      </w:pPr>
      <w:r>
        <w:t>(3)</w:t>
        <w:tab/>
      </w:r>
      <w:r>
        <w:t>If requested by a small customer, the distributor must use its best endeavours to provide the information in a language other than English requested by the customer.</w:t>
      </w:r>
    </w:p>
    <w:p>
      <w:pPr>
        <w:pStyle w:val="EMR-Subrule"/>
      </w:pPr>
      <w:r>
        <w:t>(4)</w:t>
        <w:tab/>
      </w:r>
      <w:r>
        <w:t>If a customer requests information of the kind referred to in subrule (1), the distributor must either:</w:t>
      </w:r>
    </w:p>
    <w:p>
      <w:pPr>
        <w:pStyle w:val="NER-RC-List-1-MNum"/>
      </w:pPr>
      <w:r>
        <w:t>(a)</w:t>
        <w:tab/>
      </w:r>
      <w:r>
        <w:t>refer the customer to the distributor's website; or</w:t>
      </w:r>
    </w:p>
    <w:p>
      <w:pPr>
        <w:pStyle w:val="NER-RC-List-1-MNum"/>
      </w:pPr>
      <w:r>
        <w:t>(b)</w:t>
        <w:tab/>
      </w:r>
      <w:r>
        <w:t>provide the information to the customer.</w:t>
      </w:r>
    </w:p>
    <w:p>
      <w:pPr>
        <w:pStyle w:val="EMR-Subrule"/>
      </w:pPr>
      <w:r>
        <w:t>(5)</w:t>
        <w:tab/>
      </w:r>
      <w:r>
        <w:t>However, the distributor must provide a copy of any information of that kind to the customer if the customer requests a copy.</w:t>
      </w:r>
    </w:p>
    <w:p>
      <w:pPr>
        <w:pStyle w:val="EMR-Subrule"/>
      </w:pPr>
      <w:r>
        <w:t>(6)</w:t>
        <w:tab/>
      </w:r>
      <w:r>
        <w:t>The information or a copy of the information requested under this rule must be provided without charge, but information requested more than once in any 12-month period may be provided subject to a reasonable charge.</w:t>
      </w:r>
    </w:p>
    <w:p>
      <w:pPr>
        <w:pStyle w:val="EMR-Subrule"/>
      </w:pPr>
      <w:r>
        <w:t>(7)</w:t>
        <w:tab/>
      </w:r>
      <w:r>
        <w:t xml:space="preserve">This rule does not affect and is additional to any information required to be provided under </w:t>
      </w:r>
      <w:r>
        <w:t>chapter 5A</w:t>
      </w:r>
      <w:r>
        <w:t xml:space="preserve"> of the NER.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19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169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