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95211e16-aa89-4498-946e-94870acc1fcb"/>
      <w:bookmarkEnd w:id="0"/>
      <w:r>
        <w:t>Economic Regulation of Transmission Services</w:t>
      </w:r>
    </w:p>
    <w:p>
      <w:pPr>
        <w:pStyle w:val="NER-Ch-Num"/>
      </w:pPr>
      <w:r>
        <w:t>CHAPTER 6A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73"/>
          <w:cols w:space="720"/>
          <w:noEndnote/>
          <w:titlePg/>
        </w:sectPr>
      </w:pPr>
      <w:bookmarkStart w:id="1" w:name="GPSL_AU_INS CHAPTER 6A"/>
      <w:bookmarkEnd w:id="1"/>
    </w:p>
    <w:p>
      <w:pPr>
        <w:pStyle w:val="NER-Ch-Title"/>
      </w:pPr>
      <w:bookmarkStart w:id="2" w:name="_Toc256000715"/>
      <w:r>
        <w:t>6A.</w:t>
        <w:tab/>
      </w:r>
      <w:r>
        <w:t>Economic Regulation of Transmission Services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