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EMR-Pt-Title"/>
      </w:pPr>
      <w:bookmarkStart w:id="0" w:name="_efe44250-912c-434d-b479-ba707dcd2fa6"/>
      <w:bookmarkEnd w:id="0"/>
      <w:bookmarkStart w:id="1" w:name="_Toc256000218"/>
      <w:r>
        <w:rPr>
          <w:rStyle w:val="EMR-Pt-Num-Text"/>
          <w:b/>
        </w:rPr>
        <w:t>Part 9</w:t>
        <w:tab/>
      </w:r>
      <w:r>
        <w:rPr>
          <w:rStyle w:val="EMR-Pt-Title-Text"/>
          <w:b/>
        </w:rPr>
        <w:t>Exempt selling regime</w:t>
      </w:r>
      <w:bookmarkEnd w:id="1"/>
    </w:p>
    <w:p>
      <w:pPr>
        <w:pStyle w:val="EMR-Div-Title"/>
      </w:pPr>
      <w:bookmarkStart w:id="2" w:name="_Toc256000219"/>
      <w:r>
        <w:t>Division 1</w:t>
        <w:tab/>
      </w:r>
      <w:r>
        <w:t>Preliminary</w:t>
      </w:r>
      <w:bookmarkEnd w:id="2"/>
    </w:p>
    <w:p>
      <w:pPr>
        <w:pStyle w:val="EMR-Rule-Title-Lvl-3"/>
      </w:pPr>
      <w:bookmarkStart w:id="3" w:name="_Toc256000220"/>
      <w:r>
        <w:t>148</w:t>
        <w:tab/>
      </w:r>
      <w:r>
        <w:t>Definitions</w:t>
      </w:r>
      <w:bookmarkEnd w:id="3"/>
    </w:p>
    <w:p>
      <w:pPr>
        <w:pStyle w:val="NER-RC-Para"/>
      </w:pPr>
      <w:r>
        <w:t>In this Part:</w:t>
      </w:r>
    </w:p>
    <w:p>
      <w:pPr>
        <w:pStyle w:val="NER-RC-Para"/>
      </w:pPr>
      <w:r>
        <w:rPr>
          <w:b/>
        </w:rPr>
        <w:t>exempt customer</w:t>
      </w:r>
      <w:r>
        <w:t xml:space="preserve"> means a person to whom an </w:t>
      </w:r>
      <w:r>
        <w:t>exempt</w:t>
      </w:r>
      <w:r>
        <w:t xml:space="preserve"> seller sells energy and who would be a </w:t>
      </w:r>
      <w:r>
        <w:t>retail customer</w:t>
      </w:r>
      <w:r>
        <w:t xml:space="preserve"> of the seller if the seller were a retailer;</w:t>
      </w:r>
    </w:p>
    <w:p>
      <w:pPr>
        <w:pStyle w:val="NER-RC-Para"/>
      </w:pPr>
      <w:r>
        <w:rPr>
          <w:b/>
        </w:rPr>
        <w:t>exemption</w:t>
      </w:r>
      <w:r>
        <w:t xml:space="preserve"> means an </w:t>
      </w:r>
      <w:r>
        <w:t>exemption</w:t>
      </w:r>
      <w:r>
        <w:t xml:space="preserve"> from the requirement to hold a retailer authorisation;</w:t>
      </w:r>
    </w:p>
    <w:p>
      <w:pPr>
        <w:pStyle w:val="NER-RC-Para"/>
      </w:pPr>
      <w:r>
        <w:rPr>
          <w:b/>
        </w:rPr>
        <w:t>retail customer</w:t>
      </w:r>
      <w:r>
        <w:t xml:space="preserve"> means a person who is a customer of a retailer.</w:t>
      </w:r>
    </w:p>
    <w:p>
      <w:pPr>
        <w:pStyle w:val="EMR-Div-Title"/>
      </w:pPr>
      <w:bookmarkStart w:id="4" w:name="_Toc256000221"/>
      <w:r>
        <w:t>Division 2</w:t>
        <w:tab/>
      </w:r>
      <w:r>
        <w:t>AER power to exempt</w:t>
      </w:r>
      <w:bookmarkEnd w:id="4"/>
    </w:p>
    <w:p>
      <w:pPr>
        <w:pStyle w:val="EMR-Rule-Title-Lvl-3"/>
      </w:pPr>
      <w:bookmarkStart w:id="5" w:name="_Toc256000222"/>
      <w:r>
        <w:t>149</w:t>
        <w:tab/>
      </w:r>
      <w:r>
        <w:t>Individual exemptions</w:t>
      </w:r>
      <w:bookmarkEnd w:id="5"/>
    </w:p>
    <w:p>
      <w:pPr>
        <w:pStyle w:val="EMR-Subrule"/>
      </w:pPr>
      <w:r>
        <w:t>(1)</w:t>
        <w:tab/>
      </w:r>
      <w:r>
        <w:t xml:space="preserve">The AER may decide to grant an individual </w:t>
      </w:r>
      <w:r>
        <w:t>exemption</w:t>
      </w:r>
      <w:r>
        <w:t xml:space="preserve"> to a particular person.</w:t>
      </w:r>
    </w:p>
    <w:p>
      <w:pPr>
        <w:pStyle w:val="EMR-Subrule"/>
      </w:pPr>
      <w:r>
        <w:t>(2)</w:t>
        <w:tab/>
      </w:r>
      <w:r>
        <w:t xml:space="preserve">An individual </w:t>
      </w:r>
      <w:r>
        <w:t>exemption</w:t>
      </w:r>
      <w:r>
        <w:t xml:space="preserve"> comes into force from the date on which the instrument of </w:t>
      </w:r>
      <w:r>
        <w:t>exemption</w:t>
      </w:r>
      <w:r>
        <w:t xml:space="preserve"> is issued by the AER under rule </w:t>
      </w:r>
      <w:r>
        <w:t>162(2)</w:t>
      </w:r>
      <w:r>
        <w:t>.</w:t>
      </w:r>
    </w:p>
    <w:p>
      <w:pPr>
        <w:pStyle w:val="EMR-Rule-Title-Lvl-3"/>
      </w:pPr>
      <w:bookmarkStart w:id="6" w:name="_Toc256000223"/>
      <w:r>
        <w:t>150</w:t>
        <w:tab/>
      </w:r>
      <w:r>
        <w:t>Deemed exemptions</w:t>
      </w:r>
      <w:bookmarkEnd w:id="6"/>
    </w:p>
    <w:p>
      <w:pPr>
        <w:pStyle w:val="EMR-Subrule"/>
      </w:pPr>
      <w:r>
        <w:t>(1)</w:t>
        <w:tab/>
      </w:r>
      <w:r>
        <w:t xml:space="preserve">The AER may, in accordance with the retail consultation procedure, determine a class of persons in respect of whom a deemed </w:t>
      </w:r>
      <w:r>
        <w:t>exemption</w:t>
      </w:r>
      <w:r>
        <w:t xml:space="preserve"> is taken to be in force.</w:t>
      </w:r>
    </w:p>
    <w:p>
      <w:pPr>
        <w:pStyle w:val="EMR-Subrule"/>
      </w:pPr>
      <w:r>
        <w:t>(2)</w:t>
        <w:tab/>
      </w:r>
      <w:r>
        <w:t xml:space="preserve">A deemed </w:t>
      </w:r>
      <w:r>
        <w:t>exemption</w:t>
      </w:r>
      <w:r>
        <w:t xml:space="preserve"> comes into force from the date the determination is made, or on the date specified in the determination, by the AER specifying the class of </w:t>
      </w:r>
      <w:r>
        <w:t>exempted</w:t>
      </w:r>
      <w:r>
        <w:t xml:space="preserve"> persons.</w:t>
      </w:r>
    </w:p>
    <w:p>
      <w:pPr>
        <w:pStyle w:val="EMR-Subrule"/>
      </w:pPr>
      <w:r>
        <w:t>(3)</w:t>
        <w:tab/>
      </w:r>
      <w:r>
        <w:t>The AER may from time to time amend determinations under this rule in accordance with the retail consultation procedure.</w:t>
      </w:r>
    </w:p>
    <w:p>
      <w:pPr>
        <w:pStyle w:val="EMR-Rule-Title-Lvl-3"/>
      </w:pPr>
      <w:bookmarkStart w:id="7" w:name="_Toc256000224"/>
      <w:r>
        <w:t>151</w:t>
        <w:tab/>
      </w:r>
      <w:r>
        <w:t>Registrable exemptions and registered exemptions</w:t>
      </w:r>
      <w:bookmarkEnd w:id="7"/>
    </w:p>
    <w:p>
      <w:pPr>
        <w:pStyle w:val="EMR-Subrule"/>
      </w:pPr>
      <w:r>
        <w:t>(1)</w:t>
        <w:tab/>
      </w:r>
      <w:r>
        <w:t xml:space="preserve">The AER may, in accordance with the retail consultation procedure, determine a class of persons in respect of whom an </w:t>
      </w:r>
      <w:r>
        <w:t>exemption</w:t>
      </w:r>
      <w:r>
        <w:t xml:space="preserve"> (a </w:t>
      </w:r>
      <w:r>
        <w:rPr>
          <w:b/>
        </w:rPr>
        <w:t xml:space="preserve">registrable </w:t>
      </w:r>
      <w:r>
        <w:rPr>
          <w:b/>
        </w:rPr>
        <w:t>exemption</w:t>
      </w:r>
      <w:r>
        <w:t>) is registrable.</w:t>
      </w:r>
    </w:p>
    <w:p>
      <w:pPr>
        <w:pStyle w:val="EMR-Subrule"/>
      </w:pPr>
      <w:r>
        <w:t>(2)</w:t>
        <w:tab/>
      </w:r>
      <w:r>
        <w:t xml:space="preserve">A registrable </w:t>
      </w:r>
      <w:r>
        <w:t>exemption</w:t>
      </w:r>
      <w:r>
        <w:t xml:space="preserve"> becomes a registered </w:t>
      </w:r>
      <w:r>
        <w:t>exemption</w:t>
      </w:r>
      <w:r>
        <w:t xml:space="preserve"> in respect of a particular person when the person is registered as such on the Public Register of Authorised Retailers and Exempt Sellers.</w:t>
      </w:r>
    </w:p>
    <w:p>
      <w:pPr>
        <w:pStyle w:val="EMR-Subrule"/>
      </w:pPr>
      <w:r>
        <w:t>(3)</w:t>
        <w:tab/>
      </w:r>
      <w:r>
        <w:t xml:space="preserve">A registered </w:t>
      </w:r>
      <w:r>
        <w:t>exemption</w:t>
      </w:r>
      <w:r>
        <w:t xml:space="preserve"> comes into force from the date the person who is subject to the </w:t>
      </w:r>
      <w:r>
        <w:t>exemption</w:t>
      </w:r>
      <w:r>
        <w:t xml:space="preserve"> is registered as such on the Public Register of Authorised Retailers and Exempt Sellers.</w:t>
      </w:r>
    </w:p>
    <w:p>
      <w:pPr>
        <w:pStyle w:val="EMR-Subrule"/>
      </w:pPr>
      <w:r>
        <w:t>(4)</w:t>
        <w:tab/>
      </w:r>
      <w:r>
        <w:t>The AER may from time to time amend determinations under this rule in accordance with the retail consultation procedure.</w:t>
      </w:r>
    </w:p>
    <w:p>
      <w:pPr>
        <w:pStyle w:val="EMR-Rule-Title-Lvl-3"/>
      </w:pPr>
      <w:bookmarkStart w:id="8" w:name="_Toc256000225"/>
      <w:r>
        <w:t>152</w:t>
        <w:tab/>
      </w:r>
      <w:r>
        <w:t>Conditions generally</w:t>
      </w:r>
      <w:bookmarkEnd w:id="8"/>
    </w:p>
    <w:p>
      <w:pPr>
        <w:pStyle w:val="EMR-Subrule"/>
      </w:pPr>
      <w:r>
        <w:t>(1)</w:t>
        <w:tab/>
      </w:r>
      <w:r>
        <w:t xml:space="preserve">The AER may impose conditions in relation to the sale of energy by an </w:t>
      </w:r>
      <w:r>
        <w:t>exempt</w:t>
      </w:r>
      <w:r>
        <w:t xml:space="preserve"> seller or class of </w:t>
      </w:r>
      <w:r>
        <w:t>exempt</w:t>
      </w:r>
      <w:r>
        <w:t xml:space="preserve"> sellers to </w:t>
      </w:r>
      <w:r>
        <w:t>exempt customers</w:t>
      </w:r>
      <w:r>
        <w:t>.</w:t>
      </w:r>
    </w:p>
    <w:p>
      <w:pPr>
        <w:pStyle w:val="EMR-Subrule"/>
      </w:pPr>
      <w:r>
        <w:t>(2)</w:t>
        <w:tab/>
      </w:r>
      <w:r>
        <w:t>Conditions may be imposed:</w:t>
      </w:r>
    </w:p>
    <w:p>
      <w:pPr>
        <w:pStyle w:val="NER-RC-List-1-MNum"/>
      </w:pPr>
      <w:r>
        <w:t>(a)</w:t>
        <w:tab/>
      </w:r>
      <w:r>
        <w:t xml:space="preserve">in respect of individual </w:t>
      </w:r>
      <w:r>
        <w:t>exemptions</w:t>
      </w:r>
      <w:r>
        <w:t xml:space="preserve">—under rule </w:t>
      </w:r>
      <w:r>
        <w:t>158</w:t>
      </w:r>
      <w:r>
        <w:t>; and</w:t>
      </w:r>
    </w:p>
    <w:p>
      <w:pPr>
        <w:pStyle w:val="NER-RC-List-1-MNum"/>
      </w:pPr>
      <w:r>
        <w:t>(b)</w:t>
        <w:tab/>
      </w:r>
      <w:r>
        <w:t xml:space="preserve">in respect of deemed </w:t>
      </w:r>
      <w:r>
        <w:t>exemptions</w:t>
      </w:r>
      <w:r>
        <w:t xml:space="preserve"> and registered </w:t>
      </w:r>
      <w:r>
        <w:t>exemptions</w:t>
      </w:r>
      <w:r>
        <w:t xml:space="preserve">—under rule </w:t>
      </w:r>
      <w:r>
        <w:t>153</w:t>
      </w:r>
      <w:r>
        <w:t>.</w:t>
      </w:r>
    </w:p>
    <w:p>
      <w:pPr>
        <w:pStyle w:val="EMR-Subrule"/>
      </w:pPr>
      <w:r>
        <w:t>(3)</w:t>
        <w:tab/>
      </w:r>
      <w:r>
        <w:t xml:space="preserve">Without limitation, a condition may require an </w:t>
      </w:r>
      <w:r>
        <w:t>exempt</w:t>
      </w:r>
      <w:r>
        <w:t xml:space="preserve"> seller or class of </w:t>
      </w:r>
      <w:r>
        <w:t>exempt</w:t>
      </w:r>
      <w:r>
        <w:t xml:space="preserve"> sellers to abide by specified obligations derived from energy laws and applicable to retailers, with any modifications specified in the condition, as if:</w:t>
      </w:r>
    </w:p>
    <w:p>
      <w:pPr>
        <w:pStyle w:val="NER-RC-List-1-MNum"/>
      </w:pPr>
      <w:r>
        <w:t>(a)</w:t>
        <w:tab/>
      </w:r>
      <w:r>
        <w:t xml:space="preserve">an </w:t>
      </w:r>
      <w:r>
        <w:t>exempt</w:t>
      </w:r>
      <w:r>
        <w:t xml:space="preserve"> seller were a retailer; and</w:t>
      </w:r>
    </w:p>
    <w:p>
      <w:pPr>
        <w:pStyle w:val="NER-RC-List-1-MNum"/>
      </w:pPr>
      <w:r>
        <w:t>(b)</w:t>
        <w:tab/>
      </w:r>
      <w:r>
        <w:t xml:space="preserve">the </w:t>
      </w:r>
      <w:r>
        <w:t>exempt customers</w:t>
      </w:r>
      <w:r>
        <w:t xml:space="preserve"> of an </w:t>
      </w:r>
      <w:r>
        <w:t>exempt</w:t>
      </w:r>
      <w:r>
        <w:t xml:space="preserve"> seller were </w:t>
      </w:r>
      <w:r>
        <w:t>retail customers</w:t>
      </w:r>
      <w:r>
        <w:t xml:space="preserve"> of a retailer.</w:t>
      </w:r>
    </w:p>
    <w:p>
      <w:pPr>
        <w:pStyle w:val="EMR-Subrule"/>
      </w:pPr>
      <w:r>
        <w:t>(4)</w:t>
        <w:tab/>
      </w:r>
      <w:r>
        <w:t xml:space="preserve">Where the AER determines that it is appropriate to impose a condition in relation to prices to be charged to </w:t>
      </w:r>
      <w:r>
        <w:t>exempt customers</w:t>
      </w:r>
      <w:r>
        <w:t xml:space="preserve"> at residential premises by an </w:t>
      </w:r>
      <w:r>
        <w:t>exempt</w:t>
      </w:r>
      <w:r>
        <w:t xml:space="preserve"> seller, the AER must ensure that those customers are charged no more than the standing offer price of the local area retailer.</w:t>
      </w:r>
    </w:p>
    <w:p>
      <w:pPr>
        <w:pStyle w:val="EMR-Subrule"/>
      </w:pPr>
      <w:r>
        <w:t>(5)</w:t>
        <w:tab/>
      </w:r>
      <w:r>
        <w:t xml:space="preserve">The AER may impose conditions on </w:t>
      </w:r>
      <w:r>
        <w:t>exempt</w:t>
      </w:r>
      <w:r>
        <w:t xml:space="preserve"> sellers for or with respect to installing, maintaining and reading of </w:t>
      </w:r>
      <w:r>
        <w:rPr>
          <w:i/>
        </w:rPr>
        <w:t>meters</w:t>
      </w:r>
      <w:r>
        <w:t xml:space="preserve"> of </w:t>
      </w:r>
      <w:r>
        <w:t>exempt customers</w:t>
      </w:r>
      <w:r>
        <w:t xml:space="preserve"> in accordance with jurisdictional energy legislation.</w:t>
      </w:r>
    </w:p>
    <w:p>
      <w:pPr>
        <w:pStyle w:val="EMR-Rule-Title-Lvl-3"/>
      </w:pPr>
      <w:bookmarkStart w:id="9" w:name="_Toc256000226"/>
      <w:r>
        <w:t>153</w:t>
        <w:tab/>
      </w:r>
      <w:r>
        <w:t>Conditions for deemed exemptions and registered exemptions</w:t>
      </w:r>
      <w:bookmarkEnd w:id="9"/>
    </w:p>
    <w:p>
      <w:pPr>
        <w:pStyle w:val="EMR-Subrule"/>
      </w:pPr>
      <w:r>
        <w:t>(1)</w:t>
        <w:tab/>
      </w:r>
      <w:r>
        <w:rPr>
          <w:b/>
        </w:rPr>
        <w:t>Conditions</w:t>
      </w:r>
    </w:p>
    <w:p>
      <w:pPr>
        <w:pStyle w:val="NER-RC-Para"/>
      </w:pPr>
      <w:r>
        <w:t xml:space="preserve">If the AER makes a determination under rule </w:t>
      </w:r>
      <w:r>
        <w:t>150</w:t>
      </w:r>
      <w:r>
        <w:t xml:space="preserve"> for a class of deemed </w:t>
      </w:r>
      <w:r>
        <w:t>exemptions</w:t>
      </w:r>
      <w:r>
        <w:t xml:space="preserve"> or under rule </w:t>
      </w:r>
      <w:r>
        <w:t>151</w:t>
      </w:r>
      <w:r>
        <w:t xml:space="preserve"> for a class of registrable </w:t>
      </w:r>
      <w:r>
        <w:t>exemptions</w:t>
      </w:r>
      <w:r>
        <w:t xml:space="preserve">, the AER may impose conditions in relation to the sale of energy by </w:t>
      </w:r>
      <w:r>
        <w:t>exempt</w:t>
      </w:r>
      <w:r>
        <w:t xml:space="preserve"> sellers of that class to </w:t>
      </w:r>
      <w:r>
        <w:t>exempt customers</w:t>
      </w:r>
      <w:r>
        <w:t xml:space="preserve"> by specifying the conditions as part of the determination.</w:t>
      </w:r>
    </w:p>
    <w:p>
      <w:pPr>
        <w:pStyle w:val="EMR-Subrule"/>
      </w:pPr>
      <w:r>
        <w:t>(2)</w:t>
        <w:tab/>
      </w:r>
      <w:r>
        <w:rPr>
          <w:b/>
        </w:rPr>
        <w:t>When conditions may be imposed</w:t>
      </w:r>
    </w:p>
    <w:p>
      <w:pPr>
        <w:pStyle w:val="NER-RC-Para"/>
      </w:pPr>
      <w:r>
        <w:t>Conditions may be imposed when the determination is first made or during the currency of the determination.</w:t>
      </w:r>
    </w:p>
    <w:p>
      <w:pPr>
        <w:pStyle w:val="EMR-Subrule"/>
      </w:pPr>
      <w:r>
        <w:t>(3)</w:t>
        <w:tab/>
      </w:r>
      <w:r>
        <w:rPr>
          <w:b/>
        </w:rPr>
        <w:t>Variation or revocation of condition</w:t>
      </w:r>
    </w:p>
    <w:p>
      <w:pPr>
        <w:pStyle w:val="NER-RC-Para"/>
      </w:pPr>
      <w:r>
        <w:t>The AER may, by way of amendment of the determination, vary or revoke a condition.</w:t>
      </w:r>
    </w:p>
    <w:p>
      <w:pPr>
        <w:pStyle w:val="EMR-Subrule"/>
      </w:pPr>
      <w:r>
        <w:t>(4)</w:t>
        <w:tab/>
      </w:r>
      <w:r>
        <w:rPr>
          <w:b/>
        </w:rPr>
        <w:t>Application of new or varied conditions</w:t>
      </w:r>
    </w:p>
    <w:p>
      <w:pPr>
        <w:pStyle w:val="NER-RC-Para"/>
      </w:pPr>
      <w:r>
        <w:t>Subject to the terms of the determination imposing or varying a condition:</w:t>
      </w:r>
    </w:p>
    <w:p>
      <w:pPr>
        <w:pStyle w:val="NER-RC-List-1-MNum"/>
      </w:pPr>
      <w:r>
        <w:t>(a)</w:t>
        <w:tab/>
      </w:r>
      <w:r>
        <w:t xml:space="preserve">a condition imposed during the currency of the determination applies to persons who already are </w:t>
      </w:r>
      <w:r>
        <w:t>exempt</w:t>
      </w:r>
      <w:r>
        <w:t xml:space="preserve"> sellers under the determination (as well as to persons who afterwards become </w:t>
      </w:r>
      <w:r>
        <w:t>exempt</w:t>
      </w:r>
      <w:r>
        <w:t xml:space="preserve"> sellers under the determination); and</w:t>
      </w:r>
    </w:p>
    <w:p>
      <w:pPr>
        <w:pStyle w:val="NER-RC-List-1-MNum"/>
      </w:pPr>
      <w:r>
        <w:t>(b)</w:t>
        <w:tab/>
      </w:r>
      <w:r>
        <w:t xml:space="preserve">a condition varied during the currency of the determination applies as varied to persons who already are </w:t>
      </w:r>
      <w:r>
        <w:t>exempt</w:t>
      </w:r>
      <w:r>
        <w:t xml:space="preserve"> sellers under the determination (as well as to persons who afterwards become </w:t>
      </w:r>
      <w:r>
        <w:t>exempt</w:t>
      </w:r>
      <w:r>
        <w:t xml:space="preserve"> sellers under the determination).</w:t>
      </w:r>
    </w:p>
    <w:p>
      <w:pPr>
        <w:pStyle w:val="EMR-Subrule"/>
      </w:pPr>
      <w:r>
        <w:t>(5)</w:t>
        <w:tab/>
      </w:r>
      <w:r>
        <w:rPr>
          <w:b/>
        </w:rPr>
        <w:t>Application of revoked conditions</w:t>
      </w:r>
    </w:p>
    <w:p>
      <w:pPr>
        <w:pStyle w:val="NER-RC-Para"/>
      </w:pPr>
      <w:r>
        <w:t xml:space="preserve">Subject to the terms of the amending determination that revokes a condition, a revoked condition ceases to apply to persons who already are </w:t>
      </w:r>
      <w:r>
        <w:t>exempt</w:t>
      </w:r>
      <w:r>
        <w:t xml:space="preserve"> sellers under the determination (as well as to persons who afterwards become </w:t>
      </w:r>
      <w:r>
        <w:t>exempt</w:t>
      </w:r>
      <w:r>
        <w:t xml:space="preserve"> sellers under the determination).</w:t>
      </w:r>
    </w:p>
    <w:p>
      <w:pPr>
        <w:pStyle w:val="EMR-Div-Title"/>
      </w:pPr>
      <w:bookmarkStart w:id="10" w:name="_Toc256000227"/>
      <w:r>
        <w:t>Division 3</w:t>
        <w:tab/>
      </w:r>
      <w:r>
        <w:t>AER Exempt Selling Guidelines</w:t>
      </w:r>
      <w:bookmarkEnd w:id="10"/>
    </w:p>
    <w:p>
      <w:pPr>
        <w:pStyle w:val="EMR-Rule-Title-Lvl-3"/>
      </w:pPr>
      <w:bookmarkStart w:id="11" w:name="_Toc256000228"/>
      <w:r>
        <w:t>154</w:t>
        <w:tab/>
      </w:r>
      <w:r>
        <w:t>AER Exempt Selling Guidelines</w:t>
      </w:r>
      <w:bookmarkEnd w:id="11"/>
    </w:p>
    <w:p>
      <w:pPr>
        <w:pStyle w:val="EMR-Subrule"/>
      </w:pPr>
      <w:r>
        <w:t>(1)</w:t>
        <w:tab/>
      </w:r>
      <w:r>
        <w:rPr>
          <w:b/>
        </w:rPr>
        <w:t>Application of this rule</w:t>
      </w:r>
    </w:p>
    <w:p>
      <w:pPr>
        <w:pStyle w:val="NER-RC-Para"/>
      </w:pPr>
      <w:r>
        <w:t xml:space="preserve">This rule applies to the AER </w:t>
      </w:r>
      <w:r>
        <w:t>Exempt</w:t>
      </w:r>
      <w:r>
        <w:t xml:space="preserve"> Selling Guidelines referred to in section 118 of </w:t>
      </w:r>
      <w:r>
        <w:rPr>
          <w:i/>
        </w:rPr>
        <w:t>the Law</w:t>
      </w:r>
      <w:r>
        <w:t>.</w:t>
      </w:r>
    </w:p>
    <w:p>
      <w:pPr>
        <w:pStyle w:val="EMR-Subrule"/>
      </w:pPr>
      <w:r>
        <w:t>(2)</w:t>
        <w:tab/>
      </w:r>
      <w:r>
        <w:rPr>
          <w:b/>
        </w:rPr>
        <w:t>Subject matter of AER Exempt Selling Guidelines</w:t>
      </w:r>
    </w:p>
    <w:p>
      <w:pPr>
        <w:pStyle w:val="NER-RC-Para"/>
      </w:pPr>
      <w:r>
        <w:t xml:space="preserve">The AER </w:t>
      </w:r>
      <w:r>
        <w:t>Exempt</w:t>
      </w:r>
      <w:r>
        <w:t xml:space="preserve"> Selling Guidelines must, in addition to providing information about </w:t>
      </w:r>
      <w:r>
        <w:t>exemptions</w:t>
      </w:r>
      <w:r>
        <w:t>, include provisions concerning:</w:t>
      </w:r>
    </w:p>
    <w:p>
      <w:pPr>
        <w:pStyle w:val="NER-RC-List-1-MNum"/>
      </w:pPr>
      <w:r>
        <w:t>(a)</w:t>
        <w:tab/>
      </w:r>
      <w:r>
        <w:t xml:space="preserve">procedures for applying for the grant, variation or revocation of an individual </w:t>
      </w:r>
      <w:r>
        <w:t>exemption</w:t>
      </w:r>
      <w:r>
        <w:t>; and</w:t>
      </w:r>
    </w:p>
    <w:p>
      <w:pPr>
        <w:pStyle w:val="NER-RC-List-1-MNum"/>
      </w:pPr>
      <w:r>
        <w:t>(b)</w:t>
        <w:tab/>
      </w:r>
      <w:r>
        <w:t xml:space="preserve">the information that must be provided by an applicant for an individual </w:t>
      </w:r>
      <w:r>
        <w:t>exemption</w:t>
      </w:r>
      <w:r>
        <w:t>; and</w:t>
      </w:r>
    </w:p>
    <w:p>
      <w:pPr>
        <w:pStyle w:val="NER-RC-List-1-MNum"/>
      </w:pPr>
      <w:r>
        <w:t>(c)</w:t>
        <w:tab/>
      </w:r>
      <w:r>
        <w:t xml:space="preserve">requirements relating to registered </w:t>
      </w:r>
      <w:r>
        <w:t>exemptions</w:t>
      </w:r>
      <w:r>
        <w:t xml:space="preserve"> under rule </w:t>
      </w:r>
      <w:r>
        <w:t>151</w:t>
      </w:r>
      <w:r>
        <w:t>; and</w:t>
      </w:r>
    </w:p>
    <w:p>
      <w:pPr>
        <w:pStyle w:val="NER-RC-List-1-MNum"/>
      </w:pPr>
      <w:r>
        <w:t>(d)</w:t>
        <w:tab/>
      </w:r>
      <w:r>
        <w:t xml:space="preserve">guidance on the application of the </w:t>
      </w:r>
      <w:r>
        <w:t>exempt</w:t>
      </w:r>
      <w:r>
        <w:t xml:space="preserve"> seller related factors (under section 115 of </w:t>
      </w:r>
      <w:r>
        <w:rPr>
          <w:i/>
        </w:rPr>
        <w:t>the Law</w:t>
      </w:r>
      <w:r>
        <w:t xml:space="preserve">) and the customer related factors (under section 116 of </w:t>
      </w:r>
      <w:r>
        <w:rPr>
          <w:i/>
        </w:rPr>
        <w:t>the Law</w:t>
      </w:r>
      <w:r>
        <w:t xml:space="preserve">) in making any decision relating to </w:t>
      </w:r>
      <w:r>
        <w:t>exemptions</w:t>
      </w:r>
      <w:r>
        <w:t>; and</w:t>
      </w:r>
    </w:p>
    <w:p>
      <w:pPr>
        <w:pStyle w:val="NER-RC-List-1-MNum"/>
      </w:pPr>
      <w:r>
        <w:t>(e)</w:t>
        <w:tab/>
      </w:r>
      <w:r>
        <w:t xml:space="preserve">the categories of deemed and registrable </w:t>
      </w:r>
      <w:r>
        <w:t>exemptions</w:t>
      </w:r>
      <w:r>
        <w:t xml:space="preserve">, and any associated conditions of </w:t>
      </w:r>
      <w:r>
        <w:t>exemption</w:t>
      </w:r>
      <w:r>
        <w:t xml:space="preserve"> that are to apply; and</w:t>
      </w:r>
    </w:p>
    <w:p>
      <w:pPr>
        <w:pStyle w:val="NER-RC-List-1-MNum"/>
      </w:pPr>
      <w:r>
        <w:t>(f)</w:t>
        <w:tab/>
      </w:r>
      <w:r>
        <w:t>any other matters that the AER considers relevant.</w:t>
      </w:r>
    </w:p>
    <w:p>
      <w:pPr>
        <w:pStyle w:val="EMR-Div-Title"/>
      </w:pPr>
      <w:bookmarkStart w:id="12" w:name="_Toc256000229"/>
      <w:r>
        <w:t>Division 4</w:t>
        <w:tab/>
      </w:r>
      <w:r>
        <w:t>Provisions relating to individual exemptions</w:t>
      </w:r>
      <w:bookmarkEnd w:id="12"/>
    </w:p>
    <w:p>
      <w:pPr>
        <w:pStyle w:val="EMR-Rule-Title-Lvl-3"/>
      </w:pPr>
      <w:bookmarkStart w:id="13" w:name="_Toc256000230"/>
      <w:r>
        <w:t>155</w:t>
        <w:tab/>
      </w:r>
      <w:r>
        <w:t>Application for individual exemption or variation of individual exemption</w:t>
      </w:r>
      <w:bookmarkEnd w:id="13"/>
    </w:p>
    <w:p>
      <w:pPr>
        <w:pStyle w:val="EMR-Subrule"/>
      </w:pPr>
      <w:r>
        <w:t>(1)</w:t>
        <w:tab/>
      </w:r>
      <w:r>
        <w:rPr>
          <w:b/>
        </w:rPr>
        <w:t>Application may be made</w:t>
      </w:r>
    </w:p>
    <w:p>
      <w:pPr>
        <w:pStyle w:val="NER-RC-Para"/>
      </w:pPr>
      <w:r>
        <w:t>A person may apply to the AER for:</w:t>
      </w:r>
    </w:p>
    <w:p>
      <w:pPr>
        <w:pStyle w:val="NER-RC-List-1-MNum"/>
      </w:pPr>
      <w:r>
        <w:t>(a)</w:t>
        <w:tab/>
      </w:r>
      <w:r>
        <w:t xml:space="preserve">an individual </w:t>
      </w:r>
      <w:r>
        <w:t>exemption</w:t>
      </w:r>
      <w:r>
        <w:t>; or</w:t>
      </w:r>
    </w:p>
    <w:p>
      <w:pPr>
        <w:pStyle w:val="NER-RC-List-1-MNum"/>
      </w:pPr>
      <w:r>
        <w:t>(b)</w:t>
        <w:tab/>
      </w:r>
      <w:r>
        <w:t xml:space="preserve">the variation of an individual </w:t>
      </w:r>
      <w:r>
        <w:t>exemption</w:t>
      </w:r>
      <w:r>
        <w:t xml:space="preserve"> granted to the person.</w:t>
      </w:r>
    </w:p>
    <w:p>
      <w:pPr>
        <w:pStyle w:val="EMR-Subrule"/>
      </w:pPr>
      <w:r>
        <w:t>(2)</w:t>
        <w:tab/>
      </w:r>
      <w:r>
        <w:rPr>
          <w:b/>
        </w:rPr>
        <w:t>Required information to be provided</w:t>
      </w:r>
    </w:p>
    <w:p>
      <w:pPr>
        <w:pStyle w:val="NER-RC-Para"/>
      </w:pPr>
      <w:r>
        <w:t xml:space="preserve">The information required by the AER </w:t>
      </w:r>
      <w:r>
        <w:t>Exempt</w:t>
      </w:r>
      <w:r>
        <w:t xml:space="preserve"> Selling Guidelines must be provided in the application or, at the request of or with the concurrence of the AER, by way of supplementary advice.</w:t>
      </w:r>
    </w:p>
    <w:p>
      <w:pPr>
        <w:pStyle w:val="EMR-Subrule"/>
      </w:pPr>
      <w:r>
        <w:t>(3)</w:t>
        <w:tab/>
      </w:r>
      <w:r>
        <w:rPr>
          <w:b/>
        </w:rPr>
        <w:t>Application to be published</w:t>
      </w:r>
    </w:p>
    <w:p>
      <w:pPr>
        <w:pStyle w:val="NER-RC-Para"/>
      </w:pPr>
      <w:r>
        <w:t>The AER must publish an application on the AER's website.</w:t>
      </w:r>
    </w:p>
    <w:p>
      <w:pPr>
        <w:pStyle w:val="EMR-Rule-Title-Lvl-3"/>
      </w:pPr>
      <w:bookmarkStart w:id="14" w:name="_Toc256000231"/>
      <w:r>
        <w:t>156</w:t>
        <w:tab/>
      </w:r>
      <w:r>
        <w:t>Public notice and submissions</w:t>
      </w:r>
      <w:bookmarkEnd w:id="14"/>
    </w:p>
    <w:p>
      <w:pPr>
        <w:pStyle w:val="NER-RC-Para"/>
      </w:pPr>
      <w:r>
        <w:t xml:space="preserve">Before deciding an application for an individual </w:t>
      </w:r>
      <w:r>
        <w:t>exemption</w:t>
      </w:r>
      <w:r>
        <w:t xml:space="preserve"> or variation of an individual </w:t>
      </w:r>
      <w:r>
        <w:t>exemption</w:t>
      </w:r>
      <w:r>
        <w:t>, the AER must:</w:t>
      </w:r>
    </w:p>
    <w:p>
      <w:pPr>
        <w:pStyle w:val="NER-RC-List-1-MNum"/>
      </w:pPr>
      <w:r>
        <w:t>(a)</w:t>
        <w:tab/>
      </w:r>
      <w:r>
        <w:t>publish on the AER's website a notice:</w:t>
      </w:r>
    </w:p>
    <w:p>
      <w:pPr>
        <w:pStyle w:val="NER-RC-List-2-MNum"/>
      </w:pPr>
      <w:r>
        <w:t>(i)</w:t>
        <w:tab/>
      </w:r>
      <w:r>
        <w:t>setting out a copy of or the details in the application; and</w:t>
      </w:r>
    </w:p>
    <w:p>
      <w:pPr>
        <w:pStyle w:val="NER-RC-List-2-MNum"/>
      </w:pPr>
      <w:r>
        <w:t>(ii)</w:t>
        <w:tab/>
      </w:r>
      <w:r>
        <w:t>stating that written submissions about the application may be made to the AER within a period of at least 20 business days that is specified in the notice; and</w:t>
      </w:r>
    </w:p>
    <w:p>
      <w:pPr>
        <w:pStyle w:val="NER-RC-List-2-MNum"/>
      </w:pPr>
      <w:r>
        <w:t>(iii)</w:t>
        <w:tab/>
      </w:r>
      <w:r>
        <w:t>containing such other information as the AER considers appropriate; and</w:t>
      </w:r>
    </w:p>
    <w:p>
      <w:pPr>
        <w:pStyle w:val="NER-RC-List-1-MNum"/>
      </w:pPr>
      <w:r>
        <w:t>(b)</w:t>
        <w:tab/>
      </w:r>
      <w:r>
        <w:t>consider all written submissions received by it within that period before deciding whether to grant or refuse the application.</w:t>
      </w:r>
    </w:p>
    <w:p>
      <w:pPr>
        <w:pStyle w:val="EMR-Rule-Title-Lvl-3"/>
      </w:pPr>
      <w:bookmarkStart w:id="15" w:name="_Toc256000232"/>
      <w:r>
        <w:t>157</w:t>
        <w:tab/>
      </w:r>
      <w:r>
        <w:t>Deciding application</w:t>
      </w:r>
      <w:bookmarkEnd w:id="15"/>
    </w:p>
    <w:p>
      <w:pPr>
        <w:pStyle w:val="EMR-Subrule"/>
      </w:pPr>
      <w:r>
        <w:t>(1)</w:t>
        <w:tab/>
      </w:r>
      <w:r>
        <w:rPr>
          <w:b/>
        </w:rPr>
        <w:t>Duty to decide application</w:t>
      </w:r>
    </w:p>
    <w:p>
      <w:pPr>
        <w:pStyle w:val="NER-RC-Para"/>
      </w:pPr>
      <w:r>
        <w:t xml:space="preserve">The AER must decide whether to grant or refuse an application for an individual </w:t>
      </w:r>
      <w:r>
        <w:t>exemption</w:t>
      </w:r>
      <w:r>
        <w:t xml:space="preserve"> or variation of an individual </w:t>
      </w:r>
      <w:r>
        <w:t>exemption</w:t>
      </w:r>
      <w:r>
        <w:t>.</w:t>
      </w:r>
    </w:p>
    <w:p>
      <w:pPr>
        <w:pStyle w:val="EMR-Subrule"/>
      </w:pPr>
      <w:r>
        <w:t>(2)</w:t>
        <w:tab/>
      </w:r>
      <w:r>
        <w:rPr>
          <w:b/>
        </w:rPr>
        <w:t>Application may be granted if guidelines and principles satisfied</w:t>
      </w:r>
    </w:p>
    <w:p>
      <w:pPr>
        <w:pStyle w:val="NER-RC-Para"/>
      </w:pPr>
      <w:r>
        <w:t xml:space="preserve">The AER may grant the application if the AER is satisfied that the application meets any applicable requirements of </w:t>
      </w:r>
      <w:r>
        <w:rPr>
          <w:i/>
        </w:rPr>
        <w:t>the Law</w:t>
      </w:r>
      <w:r>
        <w:t xml:space="preserve"> and the AER </w:t>
      </w:r>
      <w:r>
        <w:t>Exempt</w:t>
      </w:r>
      <w:r>
        <w:t xml:space="preserve"> Selling Guidelines.</w:t>
      </w:r>
    </w:p>
    <w:p>
      <w:pPr>
        <w:pStyle w:val="EMR-Rule-Title-Lvl-3"/>
      </w:pPr>
      <w:bookmarkStart w:id="16" w:name="_Toc256000233"/>
      <w:r>
        <w:t>158</w:t>
        <w:tab/>
      </w:r>
      <w:r>
        <w:t>Conditions for individual exemptions</w:t>
      </w:r>
      <w:bookmarkEnd w:id="16"/>
    </w:p>
    <w:p>
      <w:pPr>
        <w:pStyle w:val="EMR-Subrule"/>
      </w:pPr>
      <w:r>
        <w:t>(1)</w:t>
        <w:tab/>
      </w:r>
      <w:r>
        <w:rPr>
          <w:b/>
        </w:rPr>
        <w:t>Conditions</w:t>
      </w:r>
    </w:p>
    <w:p>
      <w:pPr>
        <w:pStyle w:val="NER-RC-Para"/>
      </w:pPr>
      <w:r>
        <w:t xml:space="preserve">If the AER grants an application for an individual </w:t>
      </w:r>
      <w:r>
        <w:t>exemption</w:t>
      </w:r>
      <w:r>
        <w:t xml:space="preserve"> or variation of an individual </w:t>
      </w:r>
      <w:r>
        <w:t>exemption</w:t>
      </w:r>
      <w:r>
        <w:t xml:space="preserve">, the AER may impose conditions in relation to the sale of energy by the </w:t>
      </w:r>
      <w:r>
        <w:t>exempt</w:t>
      </w:r>
      <w:r>
        <w:t xml:space="preserve"> seller to </w:t>
      </w:r>
      <w:r>
        <w:t>exempt customers</w:t>
      </w:r>
      <w:r>
        <w:t>.</w:t>
      </w:r>
    </w:p>
    <w:p>
      <w:pPr>
        <w:pStyle w:val="EMR-Subrule"/>
      </w:pPr>
      <w:r>
        <w:t>(2)</w:t>
        <w:tab/>
      </w:r>
      <w:r>
        <w:rPr>
          <w:b/>
        </w:rPr>
        <w:t>When conditions may be imposed</w:t>
      </w:r>
    </w:p>
    <w:p>
      <w:pPr>
        <w:pStyle w:val="NER-RC-Para"/>
      </w:pPr>
      <w:r>
        <w:t xml:space="preserve">Conditions may be imposed when the </w:t>
      </w:r>
      <w:r>
        <w:t>exemption</w:t>
      </w:r>
      <w:r>
        <w:t xml:space="preserve"> or variation is granted or during the currency of the </w:t>
      </w:r>
      <w:r>
        <w:t>exemption</w:t>
      </w:r>
      <w:r>
        <w:t xml:space="preserve"> as granted or as varied.</w:t>
      </w:r>
    </w:p>
    <w:p>
      <w:pPr>
        <w:pStyle w:val="EMR-Subrule"/>
      </w:pPr>
      <w:r>
        <w:t>(3)</w:t>
        <w:tab/>
      </w:r>
      <w:r>
        <w:rPr>
          <w:b/>
        </w:rPr>
        <w:t>Variation or revocation of condition</w:t>
      </w:r>
    </w:p>
    <w:p>
      <w:pPr>
        <w:pStyle w:val="NER-RC-Para"/>
      </w:pPr>
      <w:r>
        <w:t>The AER may vary or revoke a condition.</w:t>
      </w:r>
    </w:p>
    <w:p>
      <w:pPr>
        <w:pStyle w:val="EMR-Subrule"/>
      </w:pPr>
      <w:r>
        <w:t>(4)</w:t>
        <w:tab/>
      </w:r>
      <w:r>
        <w:rPr>
          <w:b/>
        </w:rPr>
        <w:t>Variation or revocation of conditions to be treated as variation of exemption</w:t>
      </w:r>
    </w:p>
    <w:p>
      <w:pPr>
        <w:pStyle w:val="NER-RC-Para"/>
      </w:pPr>
      <w:r>
        <w:t xml:space="preserve">For the purposes of this Part, a variation or revocation of a condition imposed on an individual </w:t>
      </w:r>
      <w:r>
        <w:t>exemption</w:t>
      </w:r>
      <w:r>
        <w:t xml:space="preserve"> is a variation of the </w:t>
      </w:r>
      <w:r>
        <w:t>exemption</w:t>
      </w:r>
      <w:r>
        <w:t>, and is to be dealt with accordingly.</w:t>
      </w:r>
    </w:p>
    <w:p>
      <w:pPr>
        <w:pStyle w:val="EMR-Rule-Title-Lvl-3"/>
      </w:pPr>
      <w:bookmarkStart w:id="17" w:name="_Toc256000234"/>
      <w:r>
        <w:t>159</w:t>
        <w:tab/>
      </w:r>
      <w:r>
        <w:t>Form of energy to be specified</w:t>
      </w:r>
      <w:bookmarkEnd w:id="17"/>
    </w:p>
    <w:p>
      <w:pPr>
        <w:pStyle w:val="EMR-Subrule"/>
      </w:pPr>
      <w:r>
        <w:t>(1)</w:t>
        <w:tab/>
      </w:r>
      <w:r>
        <w:rPr>
          <w:b/>
        </w:rPr>
        <w:t>Form of energy to be specified</w:t>
      </w:r>
    </w:p>
    <w:p>
      <w:pPr>
        <w:pStyle w:val="NER-RC-Para"/>
      </w:pPr>
      <w:r>
        <w:t xml:space="preserve">If the AER grants an application for an individual </w:t>
      </w:r>
      <w:r>
        <w:t>exemption</w:t>
      </w:r>
      <w:r>
        <w:t xml:space="preserve">, the instrument of </w:t>
      </w:r>
      <w:r>
        <w:t>exemption</w:t>
      </w:r>
      <w:r>
        <w:t xml:space="preserve"> must specify the form of energy to which the </w:t>
      </w:r>
      <w:r>
        <w:t>exemption</w:t>
      </w:r>
      <w:r>
        <w:t xml:space="preserve"> relates.</w:t>
      </w:r>
    </w:p>
    <w:p>
      <w:pPr>
        <w:pStyle w:val="EMR-Subrule"/>
      </w:pPr>
      <w:r>
        <w:t>(2)</w:t>
        <w:tab/>
      </w:r>
      <w:r>
        <w:rPr>
          <w:b/>
        </w:rPr>
        <w:t>Form of energy cannot be varied</w:t>
      </w:r>
    </w:p>
    <w:p>
      <w:pPr>
        <w:pStyle w:val="NER-RC-Para"/>
      </w:pPr>
      <w:r>
        <w:t xml:space="preserve">An individual </w:t>
      </w:r>
      <w:r>
        <w:t>exemption</w:t>
      </w:r>
      <w:r>
        <w:t xml:space="preserve"> cannot be varied to change or add to the form of energy to which the </w:t>
      </w:r>
      <w:r>
        <w:t>exemption</w:t>
      </w:r>
      <w:r>
        <w:t xml:space="preserve"> relates.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Subrule </w:t>
      </w:r>
      <w:r>
        <w:t>(2)</w:t>
      </w:r>
      <w:r>
        <w:t xml:space="preserve"> does not prevent an application for or the grant of another </w:t>
      </w:r>
      <w:r>
        <w:t>exemption</w:t>
      </w:r>
      <w:r>
        <w:t>.</w:t>
      </w:r>
    </w:p>
    <w:p>
      <w:pPr>
        <w:pStyle w:val="EMR-Rule-Title-Lvl-3"/>
      </w:pPr>
      <w:bookmarkStart w:id="18" w:name="_Toc256000235"/>
      <w:r>
        <w:t>160</w:t>
        <w:tab/>
      </w:r>
      <w:r>
        <w:t>Notice of decision to grant application</w:t>
      </w:r>
      <w:bookmarkEnd w:id="18"/>
    </w:p>
    <w:p>
      <w:pPr>
        <w:pStyle w:val="NER-RC-Para"/>
      </w:pPr>
      <w:r>
        <w:t xml:space="preserve">If the AER decides to grant an application for an individual </w:t>
      </w:r>
      <w:r>
        <w:t>exemption</w:t>
      </w:r>
      <w:r>
        <w:t xml:space="preserve"> or variation of an individual </w:t>
      </w:r>
      <w:r>
        <w:t>exemption</w:t>
      </w:r>
      <w:r>
        <w:t>, the AER must, as soon as practicable, give the applicant a notice:</w:t>
      </w:r>
    </w:p>
    <w:p>
      <w:pPr>
        <w:pStyle w:val="NER-RC-List-1-MNum"/>
      </w:pPr>
      <w:r>
        <w:t>(a)</w:t>
        <w:tab/>
      </w:r>
      <w:r>
        <w:t>stating the decision; and</w:t>
      </w:r>
    </w:p>
    <w:p>
      <w:pPr>
        <w:pStyle w:val="NER-RC-List-1-MNum"/>
      </w:pPr>
      <w:r>
        <w:t>(b)</w:t>
        <w:tab/>
      </w:r>
      <w:r>
        <w:t xml:space="preserve">specifying the conditions (if any) that the AER has decided to impose on the </w:t>
      </w:r>
      <w:r>
        <w:t>exemption</w:t>
      </w:r>
      <w:r>
        <w:t xml:space="preserve"> or variation; and</w:t>
      </w:r>
    </w:p>
    <w:p>
      <w:pPr>
        <w:pStyle w:val="NER-RC-List-1-MNum"/>
      </w:pPr>
      <w:r>
        <w:t>(c)</w:t>
        <w:tab/>
      </w:r>
      <w:r>
        <w:t xml:space="preserve">stating any other matter relevant to the grant of the </w:t>
      </w:r>
      <w:r>
        <w:t>exemption</w:t>
      </w:r>
      <w:r>
        <w:t xml:space="preserve"> or variation.</w:t>
      </w:r>
    </w:p>
    <w:p>
      <w:pPr>
        <w:pStyle w:val="EMR-Rule-Title-Lvl-3"/>
      </w:pPr>
      <w:bookmarkStart w:id="19" w:name="_Toc256000236"/>
      <w:r>
        <w:t>161</w:t>
        <w:tab/>
      </w:r>
      <w:r>
        <w:t>Deemed refusal</w:t>
      </w:r>
      <w:bookmarkEnd w:id="19"/>
    </w:p>
    <w:p>
      <w:pPr>
        <w:pStyle w:val="EMR-Subrule"/>
      </w:pPr>
      <w:r>
        <w:t>(1)</w:t>
        <w:tab/>
      </w:r>
      <w:r>
        <w:rPr>
          <w:b/>
        </w:rPr>
        <w:t>Application of this rule</w:t>
      </w:r>
    </w:p>
    <w:p>
      <w:pPr>
        <w:pStyle w:val="NER-RC-Para"/>
      </w:pPr>
      <w:r>
        <w:t xml:space="preserve">This rule applies if the AER specifies conditions in a notice under rule </w:t>
      </w:r>
      <w:r>
        <w:t>160</w:t>
      </w:r>
      <w:r>
        <w:t>.</w:t>
      </w:r>
    </w:p>
    <w:p>
      <w:pPr>
        <w:pStyle w:val="EMR-Subrule"/>
      </w:pPr>
      <w:r>
        <w:t>(2)</w:t>
        <w:tab/>
      </w:r>
      <w:r>
        <w:rPr>
          <w:b/>
        </w:rPr>
        <w:t>Deemed refusal if applicant does not accept conditions</w:t>
      </w:r>
    </w:p>
    <w:p>
      <w:pPr>
        <w:pStyle w:val="NER-RC-Para"/>
      </w:pPr>
      <w:r>
        <w:t xml:space="preserve">The AER is taken to have decided to refuse an application for an individual </w:t>
      </w:r>
      <w:r>
        <w:t>exemption</w:t>
      </w:r>
      <w:r>
        <w:t xml:space="preserve"> or variation of an individual </w:t>
      </w:r>
      <w:r>
        <w:t>exemption</w:t>
      </w:r>
      <w:r>
        <w:t xml:space="preserve"> if, within:</w:t>
      </w:r>
    </w:p>
    <w:p>
      <w:pPr>
        <w:pStyle w:val="NER-RC-List-1-MNum"/>
      </w:pPr>
      <w:r>
        <w:t>(a)</w:t>
        <w:tab/>
      </w:r>
      <w:r>
        <w:t>the period of 20 business days after the day the notice is given by the AER; or</w:t>
      </w:r>
    </w:p>
    <w:p>
      <w:pPr>
        <w:pStyle w:val="NER-RC-List-1-MNum"/>
      </w:pPr>
      <w:r>
        <w:t>(b)</w:t>
        <w:tab/>
      </w:r>
      <w:r>
        <w:t>that period as extended by the AER,</w:t>
      </w:r>
    </w:p>
    <w:p>
      <w:pPr>
        <w:pStyle w:val="NER-RC-Para"/>
      </w:pPr>
      <w:r>
        <w:t>the applicant has not given the AER a notice of acceptance of the conditions specified by the AER or those conditions with changes to which the AER has agreed.</w:t>
      </w:r>
    </w:p>
    <w:p>
      <w:pPr>
        <w:pStyle w:val="EMR-Rule-Title-Lvl-3"/>
      </w:pPr>
      <w:bookmarkStart w:id="20" w:name="_Toc256000237"/>
      <w:r>
        <w:t>162</w:t>
        <w:tab/>
      </w:r>
      <w:r>
        <w:t>Issue and public notice of individual exemption</w:t>
      </w:r>
      <w:bookmarkEnd w:id="20"/>
    </w:p>
    <w:p>
      <w:pPr>
        <w:pStyle w:val="EMR-Subrule"/>
      </w:pPr>
      <w:r>
        <w:t>(1)</w:t>
        <w:tab/>
      </w:r>
      <w:r>
        <w:rPr>
          <w:b/>
        </w:rPr>
        <w:t>Application of this rule</w:t>
      </w:r>
    </w:p>
    <w:p>
      <w:pPr>
        <w:pStyle w:val="NER-RC-Para"/>
      </w:pPr>
      <w:r>
        <w:t>This rule applies if:</w:t>
      </w:r>
    </w:p>
    <w:p>
      <w:pPr>
        <w:pStyle w:val="NER-RC-List-1-MNum"/>
      </w:pPr>
      <w:r>
        <w:t>(a)</w:t>
        <w:tab/>
      </w:r>
      <w:r>
        <w:t xml:space="preserve">the AER decides to grant an application for an individual </w:t>
      </w:r>
      <w:r>
        <w:t>exemption</w:t>
      </w:r>
      <w:r>
        <w:t xml:space="preserve"> or variation of an individual </w:t>
      </w:r>
      <w:r>
        <w:t>exemption</w:t>
      </w:r>
      <w:r>
        <w:t xml:space="preserve"> without conditions; or</w:t>
      </w:r>
    </w:p>
    <w:p>
      <w:pPr>
        <w:pStyle w:val="NER-RC-List-1-MNum"/>
      </w:pPr>
      <w:r>
        <w:t>(b)</w:t>
        <w:tab/>
      </w:r>
      <w:r>
        <w:t>the AER decides to grant the application with conditions and the applicant gives the AER a notice of acceptance of the conditions within:</w:t>
      </w:r>
    </w:p>
    <w:p>
      <w:pPr>
        <w:pStyle w:val="NER-RC-List-2-MNum"/>
      </w:pPr>
      <w:r>
        <w:t>(i)</w:t>
        <w:tab/>
      </w:r>
      <w:r>
        <w:t>the period of 20 business days after the notice of the AER's decision is given by the AER; or</w:t>
      </w:r>
    </w:p>
    <w:p>
      <w:pPr>
        <w:pStyle w:val="NER-RC-List-2-MNum"/>
      </w:pPr>
      <w:r>
        <w:t>(ii)</w:t>
        <w:tab/>
      </w:r>
      <w:r>
        <w:t>that period as extended by the AER.</w:t>
      </w:r>
    </w:p>
    <w:p>
      <w:pPr>
        <w:pStyle w:val="EMR-Subrule"/>
      </w:pPr>
      <w:r>
        <w:t>(2)</w:t>
        <w:tab/>
      </w:r>
      <w:r>
        <w:rPr>
          <w:b/>
        </w:rPr>
        <w:t>Issue and publication of individual exemption or variation</w:t>
      </w:r>
    </w:p>
    <w:p>
      <w:pPr>
        <w:pStyle w:val="NER-RC-Para"/>
      </w:pPr>
      <w:r>
        <w:t>The AER must, as soon as practicable:</w:t>
      </w:r>
    </w:p>
    <w:p>
      <w:pPr>
        <w:pStyle w:val="NER-RC-List-1-MNum"/>
      </w:pPr>
      <w:r>
        <w:t>(a)</w:t>
        <w:tab/>
      </w:r>
      <w:r>
        <w:t>issue to the applicant:</w:t>
      </w:r>
    </w:p>
    <w:p>
      <w:pPr>
        <w:pStyle w:val="NER-RC-List-2-MNum"/>
      </w:pPr>
      <w:r>
        <w:t>(i)</w:t>
        <w:tab/>
      </w:r>
      <w:r>
        <w:t xml:space="preserve">an instrument of </w:t>
      </w:r>
      <w:r>
        <w:t>exemption</w:t>
      </w:r>
      <w:r>
        <w:t>; or</w:t>
      </w:r>
    </w:p>
    <w:p>
      <w:pPr>
        <w:pStyle w:val="NER-RC-List-2-MNum"/>
      </w:pPr>
      <w:r>
        <w:t>(ii)</w:t>
        <w:tab/>
      </w:r>
      <w:r>
        <w:t xml:space="preserve">in the case of a variation—an instrument of variation or an instrument containing the </w:t>
      </w:r>
      <w:r>
        <w:t>exemption</w:t>
      </w:r>
      <w:r>
        <w:t xml:space="preserve"> as varied; and</w:t>
      </w:r>
    </w:p>
    <w:p>
      <w:pPr>
        <w:pStyle w:val="NER-RC-List-1-MNum"/>
      </w:pPr>
      <w:r>
        <w:t>(b)</w:t>
        <w:tab/>
      </w:r>
      <w:r>
        <w:t xml:space="preserve">publish the terms of the </w:t>
      </w:r>
      <w:r>
        <w:t>exemption</w:t>
      </w:r>
      <w:r>
        <w:t xml:space="preserve"> or variation on the AER's website.</w:t>
      </w:r>
    </w:p>
    <w:p>
      <w:pPr>
        <w:pStyle w:val="EMR-Rule-Title-Lvl-3"/>
      </w:pPr>
      <w:bookmarkStart w:id="21" w:name="_Toc256000238"/>
      <w:r>
        <w:t>163</w:t>
        <w:tab/>
      </w:r>
      <w:r>
        <w:t>Notice of refusal</w:t>
      </w:r>
      <w:bookmarkEnd w:id="21"/>
    </w:p>
    <w:p>
      <w:pPr>
        <w:pStyle w:val="NER-RC-Para"/>
      </w:pPr>
      <w:r>
        <w:t xml:space="preserve">If the AER decides or is taken to have decided to refuse an application for an individual </w:t>
      </w:r>
      <w:r>
        <w:t>exemption</w:t>
      </w:r>
      <w:r>
        <w:t xml:space="preserve"> or variation of an individual </w:t>
      </w:r>
      <w:r>
        <w:t>exemption</w:t>
      </w:r>
      <w:r>
        <w:t>, the AER must, as soon as practicable, give the applicant a notice stating the decision and the reasons for the decision.</w:t>
      </w:r>
    </w:p>
    <w:p>
      <w:pPr>
        <w:pStyle w:val="EMR-Div-Title"/>
      </w:pPr>
      <w:bookmarkStart w:id="22" w:name="_Toc256000239"/>
      <w:r>
        <w:t>Division 5</w:t>
        <w:tab/>
      </w:r>
      <w:r>
        <w:t>Public Register of Authorised Retailers and Exempt Sellers</w:t>
      </w:r>
      <w:bookmarkEnd w:id="22"/>
    </w:p>
    <w:p>
      <w:pPr>
        <w:pStyle w:val="EMR-Rule-Title-Lvl-3"/>
      </w:pPr>
      <w:bookmarkStart w:id="23" w:name="_Toc256000240"/>
      <w:r>
        <w:t>164</w:t>
        <w:tab/>
      </w:r>
      <w:r>
        <w:t>Public Register of Authorised Retailers and Exempt Sellers</w:t>
      </w:r>
      <w:bookmarkEnd w:id="23"/>
    </w:p>
    <w:p>
      <w:pPr>
        <w:pStyle w:val="EMR-Subrule"/>
      </w:pPr>
      <w:r>
        <w:t>(1)</w:t>
        <w:tab/>
      </w:r>
      <w:r>
        <w:t xml:space="preserve">For the purposes of section 119 of </w:t>
      </w:r>
      <w:r>
        <w:rPr>
          <w:i/>
        </w:rPr>
        <w:t>the Law</w:t>
      </w:r>
      <w:r>
        <w:t>, the Public Register of Authorised Retailers and Exempt Sellers must include the following particulars:</w:t>
      </w:r>
    </w:p>
    <w:p>
      <w:pPr>
        <w:pStyle w:val="NER-RC-List-1-MNum"/>
      </w:pPr>
      <w:r>
        <w:t>(a)</w:t>
        <w:tab/>
      </w:r>
      <w:r>
        <w:t>the names and business addresses of persons who hold retailer authorisations;</w:t>
      </w:r>
    </w:p>
    <w:p>
      <w:pPr>
        <w:pStyle w:val="NER-RC-List-1-MNum"/>
      </w:pPr>
      <w:r>
        <w:t>(b)</w:t>
        <w:tab/>
      </w:r>
      <w:r>
        <w:t xml:space="preserve">the names and business addresses of </w:t>
      </w:r>
      <w:r>
        <w:t>exempt</w:t>
      </w:r>
      <w:r>
        <w:t xml:space="preserve"> sellers who are subject to an individual </w:t>
      </w:r>
      <w:r>
        <w:t>exemption</w:t>
      </w:r>
      <w:r>
        <w:t>;</w:t>
      </w:r>
    </w:p>
    <w:p>
      <w:pPr>
        <w:pStyle w:val="NER-RC-List-1-MNum"/>
      </w:pPr>
      <w:r>
        <w:t>(c)</w:t>
        <w:tab/>
      </w:r>
      <w:r>
        <w:t xml:space="preserve">a list of the classes of persons in respect of whom deemed </w:t>
      </w:r>
      <w:r>
        <w:t>exemptions</w:t>
      </w:r>
      <w:r>
        <w:t xml:space="preserve"> are in force;</w:t>
      </w:r>
    </w:p>
    <w:p>
      <w:pPr>
        <w:pStyle w:val="NER-RC-List-1-MNum"/>
      </w:pPr>
      <w:r>
        <w:t>(d)</w:t>
        <w:tab/>
      </w:r>
      <w:r>
        <w:t xml:space="preserve">a list of the classes of persons in respect of whom an </w:t>
      </w:r>
      <w:r>
        <w:t>exemption</w:t>
      </w:r>
      <w:r>
        <w:t xml:space="preserve"> is registrable;</w:t>
      </w:r>
    </w:p>
    <w:p>
      <w:pPr>
        <w:pStyle w:val="NER-RC-List-1-MNum"/>
      </w:pPr>
      <w:r>
        <w:t>(e)</w:t>
        <w:tab/>
      </w:r>
      <w:r>
        <w:t xml:space="preserve">the names and business addresses of </w:t>
      </w:r>
      <w:r>
        <w:t>exempt</w:t>
      </w:r>
      <w:r>
        <w:t xml:space="preserve"> sellers who have registered with the AER as belonging to a class of persons subject to a registrable </w:t>
      </w:r>
      <w:r>
        <w:t>exemption</w:t>
      </w:r>
      <w:r>
        <w:t>.</w:t>
      </w:r>
    </w:p>
    <w:p>
      <w:pPr>
        <w:pStyle w:val="EMR-Subrule"/>
      </w:pPr>
      <w:r>
        <w:t>(2)</w:t>
        <w:tab/>
      </w:r>
      <w:r>
        <w:t xml:space="preserve">The Public Register of Authorised Retailers and Exempt Sellers may include other particulars and information relating to authorised retailers, </w:t>
      </w:r>
      <w:r>
        <w:t>exempt</w:t>
      </w:r>
      <w:r>
        <w:t xml:space="preserve"> sellers and associated matters that the AER considers relevant.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oddPage"/>
      <w:pgSz w:w="11907" w:h="16840"/>
      <w:pgMar w:top="1418" w:right="1418" w:bottom="1418" w:left="1418" w:header="680" w:footer="680" w:gutter="0"/>
      <w:pgNumType w:start="119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186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167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Energy Retail Rules</w:t>
      <w:tab/>
    </w:r>
    <w:r>
      <w:fldChar w:fldCharType="begin"/>
    </w:r>
    <w:r>
      <w:rPr>
        <w:caps/>
      </w:rPr>
      <w:instrText xml:space="preserve"> STYLEREF  EMR-Pt-Num-Text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28</w:t>
      <w:tab/>
    </w:r>
    <w:r>
      <w:fldChar w:fldCharType="begin"/>
    </w:r>
    <w:r>
      <w:rPr>
        <w:caps/>
      </w:rPr>
      <w:instrText xml:space="preserve"> STYLEREF  EMR-Pt-Title-Text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Energy Retail Rules</w:t>
      <w:tab/>
    </w:r>
    <w:r>
      <w:fldChar w:fldCharType="begin"/>
    </w:r>
    <w:r>
      <w:rPr>
        <w:caps/>
      </w:rPr>
      <w:instrText xml:space="preserve"> STYLEREF  EMR-Pt-Num-Text  \* MERGEFORMAT </w:instrText>
    </w:r>
    <w:r>
      <w:fldChar w:fldCharType="separate"/>
    </w:r>
    <w:r>
      <w:rPr>
        <w:caps/>
      </w:rPr>
      <w:t>Schedule 3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28</w:t>
      <w:tab/>
    </w:r>
    <w:r>
      <w:fldChar w:fldCharType="begin"/>
    </w:r>
    <w:r>
      <w:rPr>
        <w:caps/>
      </w:rPr>
      <w:instrText xml:space="preserve"> STYLEREF  EMR-Pt-Title-Text  \* MERGEFORMAT </w:instrText>
    </w:r>
    <w:r>
      <w:fldChar w:fldCharType="separate"/>
    </w:r>
    <w:r>
      <w:rPr>
        <w:caps/>
      </w:rPr>
      <w:t>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Energy Retail Rules</w:t>
      <w:tab/>
    </w:r>
    <w:r>
      <w:fldChar w:fldCharType="begin"/>
    </w:r>
    <w:r>
      <w:rPr>
        <w:caps/>
      </w:rPr>
      <w:instrText xml:space="preserve"> STYLEREF  EMR-Pt-Num-Text  \* MERGEFORMAT </w:instrText>
    </w:r>
    <w:r>
      <w:fldChar w:fldCharType="separate"/>
    </w:r>
    <w:r>
      <w:rPr>
        <w:caps/>
      </w:rPr>
      <w:t>Schedule 3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28</w:t>
      <w:tab/>
    </w:r>
    <w:r>
      <w:fldChar w:fldCharType="begin"/>
    </w:r>
    <w:r>
      <w:rPr>
        <w:caps/>
      </w:rPr>
      <w:instrText xml:space="preserve"> STYLEREF  EMR-Pt-Title-Text  \* MERGEFORMAT </w:instrText>
    </w:r>
    <w:r>
      <w:fldChar w:fldCharType="separate"/>
    </w:r>
    <w:r>
      <w:rPr>
        <w:caps/>
      </w:rPr>
      <w:t>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199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