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rPr>
          <w:sz w:val="15"/>
        </w:rPr>
      </w:pPr>
    </w:p>
    <w:p>
      <w:pPr>
        <w:pStyle w:val="BodyText"/>
        <w:spacing w:before="0"/>
        <w:ind w:left="125" w:firstLine="0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1.  Introduction ⁠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1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320" w:right="1320"/>
          <w:pgNumType w:start="1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40" w:lineRule="auto" w:before="138" w:after="0"/>
        <w:ind w:left="1253" w:right="0" w:hanging="1135"/>
        <w:jc w:val="left"/>
        <w:rPr>
          <w:rFonts w:ascii="Arial"/>
          <w:b/>
          <w:sz w:val="32"/>
        </w:rPr>
      </w:pPr>
      <w:bookmarkStart w:name="1.1   Preliminary ⁠" w:id="2"/>
      <w:bookmarkEnd w:id="2"/>
      <w:r>
        <w:rPr/>
      </w:r>
      <w:bookmarkStart w:name="1.1.1   References to the Rules ⁠" w:id="3"/>
      <w:bookmarkEnd w:id="3"/>
      <w:r>
        <w:rPr/>
      </w:r>
      <w:bookmarkStart w:name="1.1.2   Italicised expressions ⁠" w:id="4"/>
      <w:bookmarkEnd w:id="4"/>
      <w:r>
        <w:rPr/>
      </w:r>
      <w:bookmarkStart w:name="1.1.3   [Deleted] ⁠" w:id="5"/>
      <w:bookmarkEnd w:id="5"/>
      <w:r>
        <w:rPr/>
      </w:r>
      <w:bookmarkStart w:name="1.2   Background ⁠" w:id="6"/>
      <w:bookmarkEnd w:id="6"/>
      <w:r>
        <w:rPr/>
      </w:r>
      <w:bookmarkStart w:name="1.3   Nomenclature of and references to " w:id="7"/>
      <w:bookmarkEnd w:id="7"/>
      <w:r>
        <w:rPr/>
      </w:r>
      <w:bookmarkStart w:name="1.3.1   Introduction ⁠" w:id="8"/>
      <w:bookmarkEnd w:id="8"/>
      <w:r>
        <w:rPr/>
      </w:r>
      <w:bookmarkStart w:name="1.3.2   Parts, Divisions and Subdivision" w:id="9"/>
      <w:bookmarkEnd w:id="9"/>
      <w:r>
        <w:rPr/>
      </w:r>
      <w:bookmarkStart w:name="1.3.2   Parts, Divisions and Subdivision" w:id="10"/>
      <w:bookmarkEnd w:id="10"/>
      <w:r>
        <w:rPr>
          <w:rFonts w:ascii="Arial"/>
          <w:b/>
          <w:color w:val="262526"/>
          <w:sz w:val="32"/>
        </w:rPr>
        <w:t>Introduction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55" w:after="0"/>
        <w:ind w:left="1253" w:right="0" w:hanging="1135"/>
        <w:jc w:val="left"/>
      </w:pPr>
      <w:r>
        <w:rPr>
          <w:color w:val="262526"/>
        </w:rPr>
        <w:t>Preliminary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4" w:after="0"/>
        <w:ind w:left="1253" w:right="0" w:hanging="1135"/>
        <w:jc w:val="left"/>
      </w:pPr>
      <w:r>
        <w:rPr>
          <w:color w:val="262526"/>
        </w:rPr>
        <w:t>References to the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</w:p>
    <w:p>
      <w:pPr>
        <w:pStyle w:val="BodyText"/>
        <w:spacing w:before="118"/>
        <w:ind w:left="1253" w:firstLine="0"/>
      </w:pPr>
      <w:r>
        <w:rPr>
          <w:color w:val="262526"/>
        </w:rPr>
        <w:t>These Rules (the </w:t>
      </w:r>
      <w:r>
        <w:rPr>
          <w:i/>
          <w:color w:val="262526"/>
        </w:rPr>
        <w:t>Rules</w:t>
      </w:r>
      <w:r>
        <w:rPr>
          <w:color w:val="262526"/>
        </w:rPr>
        <w:t>) are called the National Electricity Rules.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6" w:after="0"/>
        <w:ind w:left="1253" w:right="0" w:hanging="1135"/>
        <w:jc w:val="left"/>
      </w:pPr>
      <w:r>
        <w:rPr>
          <w:color w:val="262526"/>
        </w:rPr>
        <w:t>Italicised</w:t>
      </w:r>
      <w:r>
        <w:rPr>
          <w:color w:val="262526"/>
          <w:spacing w:val="-1"/>
        </w:rPr>
        <w:t> </w:t>
      </w:r>
      <w:r>
        <w:rPr>
          <w:color w:val="262526"/>
        </w:rPr>
        <w:t>expressions</w:t>
      </w:r>
    </w:p>
    <w:p>
      <w:pPr>
        <w:pStyle w:val="BodyText"/>
        <w:spacing w:before="118"/>
        <w:ind w:left="1253" w:firstLine="0"/>
      </w:pPr>
      <w:r>
        <w:rPr>
          <w:color w:val="262526"/>
        </w:rPr>
        <w:t>Italicised expressions in the </w:t>
      </w:r>
      <w:r>
        <w:rPr>
          <w:i/>
          <w:color w:val="262526"/>
        </w:rPr>
        <w:t>Rules </w:t>
      </w:r>
      <w:r>
        <w:rPr>
          <w:color w:val="262526"/>
        </w:rPr>
        <w:t>are defined in the glossary in Chapter 10.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6" w:after="0"/>
        <w:ind w:left="1253" w:right="0" w:hanging="1135"/>
        <w:jc w:val="left"/>
      </w:pPr>
      <w:r>
        <w:rPr>
          <w:color w:val="262526"/>
        </w:rPr>
        <w:t>[Deleted]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5" w:after="0"/>
        <w:ind w:left="1253" w:right="0" w:hanging="1135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Background</w:t>
      </w:r>
    </w:p>
    <w:p>
      <w:pPr>
        <w:spacing w:line="249" w:lineRule="auto" w:before="123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These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Electricity </w:t>
      </w:r>
      <w:r>
        <w:rPr>
          <w:i/>
          <w:color w:val="262526"/>
          <w:sz w:val="24"/>
        </w:rPr>
        <w:t>Law </w:t>
      </w:r>
      <w:r>
        <w:rPr>
          <w:color w:val="262526"/>
          <w:sz w:val="24"/>
        </w:rPr>
        <w:t>and may be amended from time to time in accordance with the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Law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3" w:after="0"/>
        <w:ind w:left="1253" w:right="0" w:hanging="1135"/>
        <w:jc w:val="left"/>
      </w:pPr>
      <w:r>
        <w:rPr>
          <w:color w:val="262526"/>
        </w:rPr>
        <w:t>Nomenclature of and references to provisions of a</w:t>
      </w:r>
      <w:r>
        <w:rPr>
          <w:color w:val="262526"/>
          <w:spacing w:val="-17"/>
        </w:rPr>
        <w:t> </w:t>
      </w:r>
      <w:r>
        <w:rPr>
          <w:color w:val="262526"/>
        </w:rPr>
        <w:t>Chapter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4" w:after="0"/>
        <w:ind w:left="1253" w:right="0" w:hanging="1135"/>
        <w:jc w:val="left"/>
      </w:pPr>
      <w:r>
        <w:rPr>
          <w:color w:val="262526"/>
        </w:rPr>
        <w:t>Introduction</w:t>
      </w:r>
    </w:p>
    <w:p>
      <w:pPr>
        <w:pStyle w:val="ListParagraph"/>
        <w:numPr>
          <w:ilvl w:val="3"/>
          <w:numId w:val="1"/>
        </w:numPr>
        <w:tabs>
          <w:tab w:pos="1817" w:val="left" w:leader="none"/>
        </w:tabs>
        <w:spacing w:line="249" w:lineRule="auto" w:before="17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This rule applies to provisions inserted after 16 November 2006, and</w:t>
      </w:r>
      <w:r>
        <w:rPr>
          <w:color w:val="262526"/>
          <w:spacing w:val="-29"/>
          <w:sz w:val="24"/>
        </w:rPr>
        <w:t> </w:t>
      </w:r>
      <w:r>
        <w:rPr>
          <w:color w:val="262526"/>
          <w:sz w:val="24"/>
        </w:rPr>
        <w:t>applies unless the context otherwise requires.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 this rule, "numbered" means identified by one or more numbers or one or more letters, or by a combination of one or more numbers and one or more letters.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37" w:after="0"/>
        <w:ind w:left="1253" w:right="0" w:hanging="1135"/>
        <w:jc w:val="left"/>
      </w:pPr>
      <w:r>
        <w:rPr>
          <w:color w:val="262526"/>
        </w:rPr>
        <w:t>Parts, Divisions and</w:t>
      </w:r>
      <w:r>
        <w:rPr>
          <w:color w:val="262526"/>
          <w:spacing w:val="-3"/>
        </w:rPr>
        <w:t> </w:t>
      </w:r>
      <w:r>
        <w:rPr>
          <w:color w:val="262526"/>
        </w:rPr>
        <w:t>Subdivisions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5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Chapters may contain numbered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Parts may contain numbered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Divisions.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Divisions may contain numbered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Subdivisions.</w:t>
      </w:r>
    </w:p>
    <w:p>
      <w:pPr>
        <w:pStyle w:val="ListParagraph"/>
        <w:numPr>
          <w:ilvl w:val="3"/>
          <w:numId w:val="1"/>
        </w:numPr>
        <w:tabs>
          <w:tab w:pos="1817" w:val="left" w:leader="none"/>
        </w:tabs>
        <w:spacing w:line="249" w:lineRule="auto" w:before="182" w:after="0"/>
        <w:ind w:left="1820" w:right="120" w:hanging="567"/>
        <w:jc w:val="both"/>
        <w:rPr>
          <w:sz w:val="24"/>
        </w:rPr>
      </w:pPr>
      <w:r>
        <w:rPr>
          <w:color w:val="262526"/>
          <w:sz w:val="24"/>
        </w:rPr>
        <w:t>The following table indicates how Parts, Divisions and Subdivisions may be referred to in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BodyText"/>
        <w:spacing w:before="0"/>
        <w:ind w:left="0" w:firstLine="0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800"/>
        <w:gridCol w:w="2788"/>
        <w:gridCol w:w="2901"/>
      </w:tblGrid>
      <w:tr>
        <w:trPr>
          <w:trHeight w:val="714" w:hRule="atLeast"/>
        </w:trPr>
        <w:tc>
          <w:tcPr>
            <w:tcW w:w="1508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before="131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Level</w:t>
            </w:r>
          </w:p>
        </w:tc>
        <w:tc>
          <w:tcPr>
            <w:tcW w:w="1800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Provision</w:t>
            </w:r>
          </w:p>
        </w:tc>
        <w:tc>
          <w:tcPr>
            <w:tcW w:w="2788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80" w:lineRule="atLeast" w:before="127"/>
              <w:ind w:left="29" w:right="4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Internal reference in same level</w:t>
            </w:r>
          </w:p>
        </w:tc>
        <w:tc>
          <w:tcPr>
            <w:tcW w:w="2901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80" w:lineRule="atLeast" w:before="127"/>
              <w:ind w:left="30" w:righ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External reference in preceding level</w:t>
            </w:r>
          </w:p>
        </w:tc>
      </w:tr>
      <w:tr>
        <w:trPr>
          <w:trHeight w:val="377" w:hRule="atLeast"/>
        </w:trPr>
        <w:tc>
          <w:tcPr>
            <w:tcW w:w="1508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Chapter 1</w:t>
            </w:r>
          </w:p>
        </w:tc>
        <w:tc>
          <w:tcPr>
            <w:tcW w:w="278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0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508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Part A</w:t>
            </w:r>
          </w:p>
        </w:tc>
        <w:tc>
          <w:tcPr>
            <w:tcW w:w="278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this Part</w:t>
            </w:r>
          </w:p>
        </w:tc>
        <w:tc>
          <w:tcPr>
            <w:tcW w:w="290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Part A</w:t>
            </w:r>
          </w:p>
        </w:tc>
      </w:tr>
      <w:tr>
        <w:trPr>
          <w:trHeight w:val="377" w:hRule="atLeast"/>
        </w:trPr>
        <w:tc>
          <w:tcPr>
            <w:tcW w:w="1508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Division 1</w:t>
            </w:r>
          </w:p>
        </w:tc>
        <w:tc>
          <w:tcPr>
            <w:tcW w:w="278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this Division</w:t>
            </w:r>
          </w:p>
        </w:tc>
        <w:tc>
          <w:tcPr>
            <w:tcW w:w="290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Division 1</w:t>
            </w:r>
          </w:p>
        </w:tc>
      </w:tr>
      <w:tr>
        <w:trPr>
          <w:trHeight w:val="377" w:hRule="atLeast"/>
        </w:trPr>
        <w:tc>
          <w:tcPr>
            <w:tcW w:w="1508" w:type="dxa"/>
            <w:tcBorders>
              <w:top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Subdivision 1</w:t>
            </w:r>
          </w:p>
        </w:tc>
        <w:tc>
          <w:tcPr>
            <w:tcW w:w="2788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this Subdivision</w:t>
            </w:r>
          </w:p>
        </w:tc>
        <w:tc>
          <w:tcPr>
            <w:tcW w:w="2901" w:type="dxa"/>
            <w:tcBorders>
              <w:top w:val="single" w:sz="2" w:space="0" w:color="262526"/>
              <w:lef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Subdivision 1</w:t>
            </w:r>
          </w:p>
        </w:tc>
      </w:tr>
    </w:tbl>
    <w:p>
      <w:pPr>
        <w:pStyle w:val="BodyText"/>
        <w:spacing w:before="10"/>
        <w:ind w:left="0" w:firstLine="0"/>
        <w:rPr>
          <w:sz w:val="25"/>
        </w:rPr>
      </w:pPr>
    </w:p>
    <w:p>
      <w:pPr>
        <w:spacing w:before="0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1253" w:right="0" w:firstLine="0"/>
        <w:jc w:val="left"/>
        <w:rPr>
          <w:sz w:val="20"/>
        </w:rPr>
      </w:pPr>
      <w:r>
        <w:rPr>
          <w:color w:val="262526"/>
          <w:sz w:val="20"/>
        </w:rPr>
        <w:t>The numbering of the provisions in the table is by way of example.</w:t>
      </w:r>
    </w:p>
    <w:p>
      <w:pPr>
        <w:spacing w:after="0"/>
        <w:jc w:val="left"/>
        <w:rPr>
          <w:sz w:val="20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124" w:after="0"/>
        <w:ind w:left="1253" w:right="0" w:hanging="1134"/>
        <w:jc w:val="left"/>
      </w:pPr>
      <w:bookmarkStart w:name="1.3.3   Rules, clauses, paragraphs, subp" w:id="11"/>
      <w:bookmarkEnd w:id="11"/>
      <w:r>
        <w:rPr>
          <w:b w:val="0"/>
        </w:rPr>
      </w:r>
      <w:bookmarkStart w:name="1.4   Effect of renumbering of provision" w:id="12"/>
      <w:bookmarkEnd w:id="12"/>
      <w:r>
        <w:rPr>
          <w:b w:val="0"/>
        </w:rPr>
      </w:r>
      <w:bookmarkStart w:name="1.4   Effect of renumbering of provision" w:id="13"/>
      <w:bookmarkEnd w:id="13"/>
      <w:r>
        <w:rPr>
          <w:color w:val="262526"/>
        </w:rPr>
        <w:t>Rules</w:t>
      </w:r>
      <w:r>
        <w:rPr>
          <w:color w:val="262526"/>
        </w:rPr>
        <w:t>, clauses, paragraphs, subparagraphs and other</w:t>
      </w:r>
      <w:r>
        <w:rPr>
          <w:color w:val="262526"/>
          <w:spacing w:val="-11"/>
        </w:rPr>
        <w:t> </w:t>
      </w:r>
      <w:r>
        <w:rPr>
          <w:color w:val="262526"/>
        </w:rPr>
        <w:t>items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6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Chapters, Parts, Divisions and Subdivisions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may contain numbered rules.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1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Rules may contain numbered clauses.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Rules and clauses may contain numbered paragraphs.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Paragraphs may contain numbered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subparagraphs.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Subparagraphs may contain numbered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items.</w:t>
      </w:r>
    </w:p>
    <w:p>
      <w:pPr>
        <w:pStyle w:val="ListParagraph"/>
        <w:numPr>
          <w:ilvl w:val="3"/>
          <w:numId w:val="1"/>
        </w:numPr>
        <w:tabs>
          <w:tab w:pos="1817" w:val="left" w:leader="none"/>
        </w:tabs>
        <w:spacing w:line="249" w:lineRule="auto" w:before="182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following table indicates how rules, clauses, paragraphs, subparagraphs and other numbered items may be referred to in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BodyText"/>
        <w:spacing w:before="11"/>
        <w:ind w:left="0" w:firstLine="0"/>
        <w:rPr>
          <w:sz w:val="19"/>
        </w:rPr>
      </w:pPr>
    </w:p>
    <w:tbl>
      <w:tblPr>
        <w:tblW w:w="0" w:type="auto"/>
        <w:jc w:val="left"/>
        <w:tblInd w:w="14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2146"/>
        <w:gridCol w:w="2593"/>
        <w:gridCol w:w="2764"/>
      </w:tblGrid>
      <w:tr>
        <w:trPr>
          <w:trHeight w:val="714" w:hRule="atLeast"/>
        </w:trPr>
        <w:tc>
          <w:tcPr>
            <w:tcW w:w="1499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before="131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Level</w:t>
            </w:r>
          </w:p>
        </w:tc>
        <w:tc>
          <w:tcPr>
            <w:tcW w:w="2146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Provision</w:t>
            </w:r>
          </w:p>
        </w:tc>
        <w:tc>
          <w:tcPr>
            <w:tcW w:w="2593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90" w:lineRule="atLeast" w:before="117"/>
              <w:ind w:left="28" w:righ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Internal reference in same level</w:t>
            </w:r>
          </w:p>
        </w:tc>
        <w:tc>
          <w:tcPr>
            <w:tcW w:w="2764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90" w:lineRule="atLeast" w:before="117"/>
              <w:ind w:left="27" w:righ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External reference in preceding level</w:t>
            </w:r>
          </w:p>
        </w:tc>
      </w:tr>
      <w:tr>
        <w:trPr>
          <w:trHeight w:val="665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1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color w:val="262526"/>
                <w:sz w:val="24"/>
              </w:rPr>
              <w:t>Chapter, Part or Subdivision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2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rule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rule 1.2</w:t>
            </w:r>
          </w:p>
        </w:tc>
      </w:tr>
      <w:tr>
        <w:trPr>
          <w:trHeight w:val="377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3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clause 1.2.3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clause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clause 1.2.3</w:t>
            </w:r>
          </w:p>
        </w:tc>
      </w:tr>
      <w:tr>
        <w:trPr>
          <w:trHeight w:val="778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4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1.2(a)</w:t>
            </w:r>
          </w:p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color w:val="262526"/>
                <w:sz w:val="24"/>
              </w:rPr>
              <w:t>clause 1.2.3(a)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paragraph</w:t>
            </w:r>
          </w:p>
          <w:p>
            <w:pPr>
              <w:pStyle w:val="TableParagraph"/>
              <w:spacing w:before="125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paragraph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paragraph (a)</w:t>
            </w:r>
          </w:p>
          <w:p>
            <w:pPr>
              <w:pStyle w:val="TableParagraph"/>
              <w:spacing w:before="125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paragraph (a)</w:t>
            </w:r>
          </w:p>
        </w:tc>
      </w:tr>
      <w:tr>
        <w:trPr>
          <w:trHeight w:val="778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5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1.2(a)(1)</w:t>
            </w:r>
          </w:p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subparagraph</w:t>
            </w:r>
          </w:p>
          <w:p>
            <w:pPr>
              <w:pStyle w:val="TableParagraph"/>
              <w:spacing w:before="125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subparagraph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subparagraph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(1)</w:t>
            </w:r>
          </w:p>
          <w:p>
            <w:pPr>
              <w:pStyle w:val="TableParagraph"/>
              <w:spacing w:before="125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subparagraph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(1)</w:t>
            </w:r>
          </w:p>
        </w:tc>
      </w:tr>
      <w:tr>
        <w:trPr>
          <w:trHeight w:val="778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6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1.2(a)(1)(i)</w:t>
            </w:r>
          </w:p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1.2.3(a)(1)(i)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rule 1.2(a)(1)(i)</w:t>
            </w:r>
          </w:p>
          <w:p>
            <w:pPr>
              <w:pStyle w:val="TableParagraph"/>
              <w:spacing w:before="125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clause 1.2.3(a)(1)(i)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rule 1.2(a)(1)(i)</w:t>
            </w:r>
          </w:p>
          <w:p>
            <w:pPr>
              <w:pStyle w:val="TableParagraph"/>
              <w:spacing w:before="125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1.2.3(a)(1)(i)</w:t>
            </w:r>
          </w:p>
        </w:tc>
      </w:tr>
      <w:tr>
        <w:trPr>
          <w:trHeight w:val="1067" w:hRule="atLeast"/>
        </w:trPr>
        <w:tc>
          <w:tcPr>
            <w:tcW w:w="1499" w:type="dxa"/>
            <w:tcBorders>
              <w:top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7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1.2(a)(1)(i)(A)</w:t>
            </w:r>
          </w:p>
          <w:p>
            <w:pPr>
              <w:pStyle w:val="TableParagraph"/>
              <w:spacing w:line="249" w:lineRule="auto" w:before="125"/>
              <w:ind w:right="446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1.2.3(a)(1)(i)(A)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rule 1.2(a)(1)(i)(A)</w:t>
            </w:r>
          </w:p>
          <w:p>
            <w:pPr>
              <w:pStyle w:val="TableParagraph"/>
              <w:spacing w:line="249" w:lineRule="auto" w:before="125"/>
              <w:ind w:left="88" w:right="894"/>
              <w:rPr>
                <w:sz w:val="24"/>
              </w:rPr>
            </w:pPr>
            <w:r>
              <w:rPr>
                <w:color w:val="262526"/>
                <w:sz w:val="24"/>
              </w:rPr>
              <w:t>this clause 1.2.3(a)(1)(i)(A)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rule 1.2(a)(1)(i)(A)</w:t>
            </w:r>
          </w:p>
          <w:p>
            <w:pPr>
              <w:pStyle w:val="TableParagraph"/>
              <w:spacing w:before="125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1.2.3(a)(1)(i)(A)</w:t>
            </w:r>
          </w:p>
        </w:tc>
      </w:tr>
    </w:tbl>
    <w:p>
      <w:pPr>
        <w:pStyle w:val="BodyText"/>
        <w:spacing w:before="10"/>
        <w:ind w:left="0" w:firstLine="0"/>
        <w:rPr>
          <w:sz w:val="25"/>
        </w:rPr>
      </w:pPr>
    </w:p>
    <w:p>
      <w:pPr>
        <w:spacing w:before="0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1253" w:right="0" w:firstLine="0"/>
        <w:jc w:val="left"/>
        <w:rPr>
          <w:sz w:val="20"/>
        </w:rPr>
      </w:pPr>
      <w:r>
        <w:rPr>
          <w:color w:val="262526"/>
          <w:sz w:val="20"/>
        </w:rPr>
        <w:t>The numbering of the provisions in the table is by way of example.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0" w:after="0"/>
        <w:ind w:left="1253" w:right="0" w:hanging="1134"/>
        <w:jc w:val="left"/>
      </w:pPr>
      <w:r>
        <w:rPr>
          <w:color w:val="262526"/>
        </w:rPr>
        <w:t>Effect of renumbering of provisions of the</w:t>
      </w:r>
      <w:r>
        <w:rPr>
          <w:color w:val="262526"/>
          <w:spacing w:val="-4"/>
        </w:rPr>
        <w:t> </w:t>
      </w:r>
      <w:r>
        <w:rPr>
          <w:color w:val="262526"/>
        </w:rPr>
        <w:t>Rules</w:t>
      </w:r>
    </w:p>
    <w:p>
      <w:pPr>
        <w:pStyle w:val="ListParagraph"/>
        <w:numPr>
          <w:ilvl w:val="0"/>
          <w:numId w:val="2"/>
        </w:numPr>
        <w:tabs>
          <w:tab w:pos="1817" w:val="left" w:leader="none"/>
        </w:tabs>
        <w:spacing w:line="249" w:lineRule="auto" w:before="180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renumbering of a provision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by an </w:t>
      </w:r>
      <w:r>
        <w:rPr>
          <w:i/>
          <w:color w:val="262526"/>
          <w:sz w:val="24"/>
        </w:rPr>
        <w:t>Amending Rule </w:t>
      </w:r>
      <w:r>
        <w:rPr>
          <w:color w:val="262526"/>
          <w:sz w:val="24"/>
        </w:rPr>
        <w:t>does not </w:t>
      </w:r>
      <w:r>
        <w:rPr>
          <w:color w:val="262526"/>
          <w:spacing w:val="-3"/>
          <w:sz w:val="24"/>
        </w:rPr>
        <w:t>affect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anything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done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omitted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Amending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Rule </w:t>
      </w:r>
      <w:r>
        <w:rPr>
          <w:color w:val="262526"/>
          <w:sz w:val="24"/>
        </w:rPr>
        <w:t>comes into operation.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249" w:lineRule="auto" w:before="173" w:after="0"/>
        <w:ind w:left="1820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(however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expressed)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document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 provision is taken to be a reference to the provision as renumbered.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Paragraphs (a) and (b) have effect whether or not the renumbered provision is also relocated.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120" w:after="0"/>
        <w:ind w:left="1253" w:right="0" w:hanging="1135"/>
        <w:jc w:val="left"/>
      </w:pPr>
      <w:bookmarkStart w:name="1.5   [Deleted] ⁠" w:id="14"/>
      <w:bookmarkEnd w:id="14"/>
      <w:r>
        <w:rPr>
          <w:b w:val="0"/>
        </w:rPr>
      </w:r>
      <w:bookmarkStart w:name="1.6   [Deleted] ⁠" w:id="15"/>
      <w:bookmarkEnd w:id="15"/>
      <w:r>
        <w:rPr>
          <w:b w:val="0"/>
        </w:rPr>
      </w:r>
      <w:bookmarkStart w:name="1.7   Interpretation ⁠" w:id="16"/>
      <w:bookmarkEnd w:id="16"/>
      <w:r>
        <w:rPr>
          <w:b w:val="0"/>
        </w:rPr>
      </w:r>
      <w:bookmarkStart w:name="1.7.1   General ⁠" w:id="17"/>
      <w:bookmarkEnd w:id="17"/>
      <w:r>
        <w:rPr>
          <w:b w:val="0"/>
        </w:rPr>
      </w:r>
      <w:bookmarkStart w:name="1.7.1   General ⁠" w:id="18"/>
      <w:bookmarkEnd w:id="18"/>
      <w:r>
        <w:rPr>
          <w:color w:val="262526"/>
        </w:rPr>
        <w:t>[Deleted]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40" w:after="0"/>
        <w:ind w:left="1253" w:right="0" w:hanging="1135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[Deleted]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40" w:after="0"/>
        <w:ind w:left="1253" w:right="0" w:hanging="1135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Interpretation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4" w:after="0"/>
        <w:ind w:left="1253" w:right="0" w:hanging="1135"/>
        <w:jc w:val="left"/>
      </w:pPr>
      <w:r>
        <w:rPr>
          <w:color w:val="262526"/>
        </w:rPr>
        <w:t>General</w:t>
      </w:r>
    </w:p>
    <w:p>
      <w:pPr>
        <w:pStyle w:val="BodyText"/>
        <w:spacing w:before="118"/>
        <w:ind w:left="1253" w:firstLine="0"/>
      </w:pPr>
      <w:r>
        <w:rPr>
          <w:color w:val="262526"/>
        </w:rPr>
        <w:t>In the </w:t>
      </w:r>
      <w:r>
        <w:rPr>
          <w:i/>
          <w:color w:val="262526"/>
        </w:rPr>
        <w:t>Rules</w:t>
      </w:r>
      <w:r>
        <w:rPr>
          <w:color w:val="262526"/>
        </w:rPr>
        <w:t>, unless the context otherwise requires: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headings are for convenience only and do not affect the interpretation of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words importing the singular include the plural and vice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versa;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words importing a gender include any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gender;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8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when italicised, other parts of speech and grammatical forms of a word or phrase defined in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have a corresponding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meaning;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an expression importing a natural person includes any company,</w:t>
      </w:r>
      <w:r>
        <w:rPr>
          <w:color w:val="262526"/>
          <w:spacing w:val="-41"/>
          <w:sz w:val="24"/>
        </w:rPr>
        <w:t> </w:t>
      </w:r>
      <w:r>
        <w:rPr>
          <w:color w:val="262526"/>
          <w:spacing w:val="-2"/>
          <w:sz w:val="24"/>
        </w:rPr>
        <w:t>partnership, </w:t>
      </w:r>
      <w:r>
        <w:rPr>
          <w:color w:val="262526"/>
          <w:sz w:val="24"/>
        </w:rPr>
        <w:t>trust, joint venture, association, corporation or other body corporate and any government agency;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reference to any thing includes a part of that thing;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a reference to a chapter, condition, clause, schedule or part is to a chapter, condition, clause, schedule or part of 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a reference to any statute, regulation, proclamation, order in council, ordinances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by-laws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includes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statutes,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regulations,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proclamations,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orders in council, ordinances and by-laws varying, consolidating, </w:t>
      </w:r>
      <w:r>
        <w:rPr>
          <w:color w:val="262526"/>
          <w:spacing w:val="2"/>
          <w:sz w:val="24"/>
        </w:rPr>
        <w:t>re-enacting, </w:t>
      </w:r>
      <w:r>
        <w:rPr>
          <w:color w:val="262526"/>
          <w:sz w:val="24"/>
        </w:rPr>
        <w:t>extending or replacing them and a reference to a statute includes </w:t>
      </w:r>
      <w:r>
        <w:rPr>
          <w:color w:val="262526"/>
          <w:spacing w:val="2"/>
          <w:sz w:val="24"/>
        </w:rPr>
        <w:t>all </w:t>
      </w:r>
      <w:r>
        <w:rPr>
          <w:color w:val="262526"/>
          <w:sz w:val="24"/>
        </w:rPr>
        <w:t>regulations, proclamations, orders in council, ordinances, by-laws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determinations issued under 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statute;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6" w:after="0"/>
        <w:ind w:left="1820" w:right="112" w:hanging="567"/>
        <w:jc w:val="both"/>
        <w:rPr>
          <w:sz w:val="24"/>
        </w:rPr>
      </w:pPr>
      <w:r>
        <w:rPr>
          <w:color w:val="262526"/>
          <w:sz w:val="24"/>
        </w:rPr>
        <w:t>a reference to a document or a provision of a document includes an amendment or supplement to, or replacement or novation of, that document or that provision of that document;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3" w:after="0"/>
        <w:ind w:left="1820" w:right="111" w:hanging="567"/>
        <w:jc w:val="both"/>
        <w:rPr>
          <w:sz w:val="24"/>
        </w:rPr>
      </w:pPr>
      <w:r>
        <w:rPr>
          <w:color w:val="262526"/>
          <w:sz w:val="24"/>
        </w:rPr>
        <w:t>a reference to a person includes that person's executors, administrators, successors, substitutes (including, without limitation, persons taking by novation) and permitted assigns;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period of time:</w:t>
      </w:r>
    </w:p>
    <w:p>
      <w:pPr>
        <w:pStyle w:val="ListParagraph"/>
        <w:numPr>
          <w:ilvl w:val="4"/>
          <w:numId w:val="1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2" w:hanging="567"/>
        <w:jc w:val="left"/>
        <w:rPr>
          <w:sz w:val="24"/>
        </w:rPr>
      </w:pPr>
      <w:r>
        <w:rPr>
          <w:color w:val="262526"/>
          <w:sz w:val="24"/>
        </w:rPr>
        <w:t>which dates from a given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of an act or event is to be calculated exclusive of that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4" w:hanging="567"/>
        <w:jc w:val="left"/>
        <w:rPr>
          <w:sz w:val="24"/>
        </w:rPr>
      </w:pPr>
      <w:r>
        <w:rPr>
          <w:color w:val="262526"/>
          <w:sz w:val="24"/>
        </w:rPr>
        <w:t>which commences on a given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of an act or event is to be calculated inclusive of 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i/>
          <w:sz w:val="24"/>
        </w:rPr>
      </w:pPr>
      <w:r>
        <w:rPr>
          <w:color w:val="262526"/>
          <w:sz w:val="24"/>
        </w:rPr>
        <w:t>an event which is required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to occur on or by a stipulated</w:t>
      </w:r>
      <w:r>
        <w:rPr>
          <w:color w:val="262526"/>
          <w:spacing w:val="-42"/>
          <w:sz w:val="24"/>
        </w:rPr>
        <w:t> </w:t>
      </w:r>
      <w:r>
        <w:rPr>
          <w:i/>
          <w:color w:val="262526"/>
          <w:sz w:val="24"/>
        </w:rPr>
        <w:t>day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which is not a </w:t>
      </w:r>
      <w:r>
        <w:rPr>
          <w:i/>
          <w:color w:val="262526"/>
          <w:sz w:val="24"/>
        </w:rPr>
        <w:t>business day </w:t>
      </w:r>
      <w:r>
        <w:rPr>
          <w:color w:val="262526"/>
          <w:sz w:val="24"/>
        </w:rPr>
        <w:t>may occur on or by the next </w:t>
      </w:r>
      <w:r>
        <w:rPr>
          <w:i/>
          <w:color w:val="262526"/>
          <w:sz w:val="24"/>
        </w:rPr>
        <w:t>business day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schedules to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form part of 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spacing w:line="249" w:lineRule="auto" w:before="117"/>
        <w:ind w:left="1253" w:right="117" w:firstLine="0"/>
        <w:jc w:val="both"/>
        <w:rPr>
          <w:sz w:val="24"/>
        </w:rPr>
      </w:pPr>
      <w:bookmarkStart w:name="1.8   Notices ⁠" w:id="19"/>
      <w:bookmarkEnd w:id="19"/>
      <w:r>
        <w:rPr/>
      </w:r>
      <w:bookmarkStart w:name="1.8.1   Service of notices under the Rul" w:id="20"/>
      <w:bookmarkEnd w:id="20"/>
      <w:r>
        <w:rPr/>
      </w:r>
      <w:bookmarkStart w:name="1.8.2   Time of service ⁠" w:id="21"/>
      <w:bookmarkEnd w:id="21"/>
      <w:r>
        <w:rPr/>
      </w:r>
      <w:r>
        <w:rPr>
          <w:color w:val="262526"/>
          <w:sz w:val="24"/>
        </w:rPr>
        <w:t>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intended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provisions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 Law </w:t>
      </w:r>
      <w:r>
        <w:rPr>
          <w:color w:val="262526"/>
          <w:sz w:val="24"/>
        </w:rPr>
        <w:t>should apply to 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:</w:t>
      </w:r>
    </w:p>
    <w:p>
      <w:pPr>
        <w:pStyle w:val="BodyText"/>
        <w:spacing w:before="116"/>
        <w:ind w:left="1253" w:firstLine="0"/>
        <w:jc w:val="both"/>
      </w:pPr>
      <w:r>
        <w:rPr>
          <w:color w:val="262526"/>
        </w:rPr>
        <w:t>Clauses 2, 4, 9, 10, 11, 21, 28, 29, 30, 31AH, 35, 36, 37 and 38.</w:t>
      </w:r>
    </w:p>
    <w:p>
      <w:pPr>
        <w:pStyle w:val="BodyText"/>
        <w:spacing w:line="249" w:lineRule="auto" w:before="125"/>
        <w:ind w:left="1253" w:right="114" w:firstLine="0"/>
        <w:jc w:val="both"/>
      </w:pPr>
      <w:r>
        <w:rPr>
          <w:color w:val="262526"/>
        </w:rPr>
        <w:t>This</w:t>
      </w:r>
      <w:r>
        <w:rPr>
          <w:color w:val="262526"/>
          <w:spacing w:val="-9"/>
        </w:rPr>
        <w:t> </w:t>
      </w:r>
      <w:r>
        <w:rPr>
          <w:color w:val="262526"/>
        </w:rPr>
        <w:t>exclusion</w:t>
      </w:r>
      <w:r>
        <w:rPr>
          <w:color w:val="262526"/>
          <w:spacing w:val="-9"/>
        </w:rPr>
        <w:t> </w:t>
      </w:r>
      <w:r>
        <w:rPr>
          <w:color w:val="262526"/>
        </w:rPr>
        <w:t>is</w:t>
      </w:r>
      <w:r>
        <w:rPr>
          <w:color w:val="262526"/>
          <w:spacing w:val="-9"/>
        </w:rPr>
        <w:t> </w:t>
      </w:r>
      <w:r>
        <w:rPr>
          <w:color w:val="262526"/>
        </w:rPr>
        <w:t>in</w:t>
      </w:r>
      <w:r>
        <w:rPr>
          <w:color w:val="262526"/>
          <w:spacing w:val="-9"/>
        </w:rPr>
        <w:t> </w:t>
      </w:r>
      <w:r>
        <w:rPr>
          <w:color w:val="262526"/>
        </w:rPr>
        <w:t>addition</w:t>
      </w:r>
      <w:r>
        <w:rPr>
          <w:color w:val="262526"/>
          <w:spacing w:val="-9"/>
        </w:rPr>
        <w:t> </w:t>
      </w:r>
      <w:r>
        <w:rPr>
          <w:color w:val="262526"/>
        </w:rPr>
        <w:t>to</w:t>
      </w:r>
      <w:r>
        <w:rPr>
          <w:color w:val="262526"/>
          <w:spacing w:val="-9"/>
        </w:rPr>
        <w:t> </w:t>
      </w:r>
      <w:r>
        <w:rPr>
          <w:color w:val="262526"/>
        </w:rPr>
        <w:t>an</w:t>
      </w:r>
      <w:r>
        <w:rPr>
          <w:color w:val="262526"/>
          <w:spacing w:val="-9"/>
        </w:rPr>
        <w:t> </w:t>
      </w:r>
      <w:r>
        <w:rPr>
          <w:color w:val="262526"/>
        </w:rPr>
        <w:t>exclusion</w:t>
      </w:r>
      <w:r>
        <w:rPr>
          <w:color w:val="262526"/>
          <w:spacing w:val="-9"/>
        </w:rPr>
        <w:t> </w:t>
      </w:r>
      <w:r>
        <w:rPr>
          <w:color w:val="262526"/>
        </w:rPr>
        <w:t>that</w:t>
      </w:r>
      <w:r>
        <w:rPr>
          <w:color w:val="262526"/>
          <w:spacing w:val="-9"/>
        </w:rPr>
        <w:t> </w:t>
      </w:r>
      <w:r>
        <w:rPr>
          <w:color w:val="262526"/>
        </w:rPr>
        <w:t>arises</w:t>
      </w:r>
      <w:r>
        <w:rPr>
          <w:color w:val="262526"/>
          <w:spacing w:val="-9"/>
        </w:rPr>
        <w:t> </w:t>
      </w:r>
      <w:r>
        <w:rPr>
          <w:color w:val="262526"/>
        </w:rPr>
        <w:t>from</w:t>
      </w:r>
      <w:r>
        <w:rPr>
          <w:color w:val="262526"/>
          <w:spacing w:val="-9"/>
        </w:rPr>
        <w:t> </w:t>
      </w:r>
      <w:r>
        <w:rPr>
          <w:color w:val="262526"/>
        </w:rPr>
        <w:t>other</w:t>
      </w:r>
      <w:r>
        <w:rPr>
          <w:color w:val="262526"/>
          <w:spacing w:val="-9"/>
        </w:rPr>
        <w:t> </w:t>
      </w:r>
      <w:r>
        <w:rPr>
          <w:color w:val="262526"/>
        </w:rPr>
        <w:t>provisions</w:t>
      </w:r>
      <w:r>
        <w:rPr>
          <w:color w:val="262526"/>
          <w:spacing w:val="-9"/>
        </w:rPr>
        <w:t> </w:t>
      </w:r>
      <w:r>
        <w:rPr>
          <w:color w:val="262526"/>
        </w:rPr>
        <w:t>of</w:t>
      </w:r>
      <w:r>
        <w:rPr>
          <w:color w:val="262526"/>
          <w:spacing w:val="-9"/>
        </w:rPr>
        <w:t> </w:t>
      </w:r>
      <w:r>
        <w:rPr>
          <w:color w:val="262526"/>
        </w:rPr>
        <w:t>the </w:t>
      </w:r>
      <w:r>
        <w:rPr>
          <w:i/>
          <w:color w:val="262526"/>
          <w:spacing w:val="-3"/>
        </w:rPr>
        <w:t>Rules</w:t>
      </w:r>
      <w:r>
        <w:rPr>
          <w:i/>
          <w:color w:val="262526"/>
          <w:spacing w:val="-13"/>
        </w:rPr>
        <w:t> </w:t>
      </w: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which</w:t>
      </w:r>
      <w:r>
        <w:rPr>
          <w:color w:val="262526"/>
          <w:spacing w:val="-12"/>
        </w:rPr>
        <w:t> </w:t>
      </w:r>
      <w:r>
        <w:rPr>
          <w:color w:val="262526"/>
        </w:rPr>
        <w:t>an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intention</w:t>
      </w:r>
      <w:r>
        <w:rPr>
          <w:color w:val="262526"/>
          <w:spacing w:val="-12"/>
        </w:rPr>
        <w:t> </w:t>
      </w:r>
      <w:r>
        <w:rPr>
          <w:color w:val="262526"/>
        </w:rPr>
        <w:t>is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expressed,</w:t>
      </w:r>
      <w:r>
        <w:rPr>
          <w:color w:val="262526"/>
          <w:spacing w:val="-12"/>
        </w:rPr>
        <w:t> </w:t>
      </w:r>
      <w:r>
        <w:rPr>
          <w:color w:val="262526"/>
        </w:rPr>
        <w:t>or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from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which</w:t>
      </w:r>
      <w:r>
        <w:rPr>
          <w:color w:val="262526"/>
          <w:spacing w:val="-12"/>
        </w:rPr>
        <w:t> </w:t>
      </w:r>
      <w:r>
        <w:rPr>
          <w:color w:val="262526"/>
        </w:rPr>
        <w:t>an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intention</w:t>
      </w:r>
      <w:r>
        <w:rPr>
          <w:color w:val="262526"/>
          <w:spacing w:val="-12"/>
        </w:rPr>
        <w:t> </w:t>
      </w:r>
      <w:r>
        <w:rPr>
          <w:color w:val="262526"/>
        </w:rPr>
        <w:t>may</w:t>
      </w:r>
      <w:r>
        <w:rPr>
          <w:color w:val="262526"/>
          <w:spacing w:val="-12"/>
        </w:rPr>
        <w:t> </w:t>
      </w:r>
      <w:r>
        <w:rPr>
          <w:color w:val="262526"/>
        </w:rPr>
        <w:t>be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inferred, </w:t>
      </w:r>
      <w:r>
        <w:rPr>
          <w:color w:val="262526"/>
        </w:rPr>
        <w:t>that a provision of the relevant Schedule is not to apply to the</w:t>
      </w:r>
      <w:r>
        <w:rPr>
          <w:color w:val="262526"/>
          <w:spacing w:val="-6"/>
        </w:rPr>
        <w:t> </w:t>
      </w:r>
      <w:r>
        <w:rPr>
          <w:i/>
          <w:color w:val="262526"/>
        </w:rPr>
        <w:t>Rules</w:t>
      </w:r>
      <w:r>
        <w:rPr>
          <w:color w:val="262526"/>
        </w:rPr>
        <w:t>.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3" w:after="0"/>
        <w:ind w:left="1253" w:right="0" w:hanging="1134"/>
        <w:jc w:val="left"/>
      </w:pPr>
      <w:r>
        <w:rPr>
          <w:color w:val="262526"/>
        </w:rPr>
        <w:t>Notices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4" w:after="0"/>
        <w:ind w:left="1253" w:right="0" w:hanging="1134"/>
        <w:jc w:val="left"/>
      </w:pPr>
      <w:r>
        <w:rPr>
          <w:color w:val="262526"/>
        </w:rPr>
        <w:t>Service of notices under the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</w:p>
    <w:p>
      <w:pPr>
        <w:pStyle w:val="BodyText"/>
        <w:spacing w:before="118"/>
        <w:ind w:left="1253" w:firstLine="0"/>
        <w:jc w:val="both"/>
      </w:pPr>
      <w:r>
        <w:rPr>
          <w:color w:val="262526"/>
        </w:rPr>
        <w:t>A notice is properly given under the </w:t>
      </w:r>
      <w:r>
        <w:rPr>
          <w:i/>
          <w:color w:val="262526"/>
        </w:rPr>
        <w:t>Rules </w:t>
      </w:r>
      <w:r>
        <w:rPr>
          <w:color w:val="262526"/>
        </w:rPr>
        <w:t>to a person if: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it is personally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served;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8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letter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containing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prepaid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posted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address (if any) supplied by the person to the sender for service of notices </w:t>
      </w:r>
      <w:r>
        <w:rPr>
          <w:color w:val="262526"/>
          <w:spacing w:val="-4"/>
          <w:sz w:val="24"/>
        </w:rPr>
        <w:t>or, </w:t>
      </w:r>
      <w:r>
        <w:rPr>
          <w:color w:val="262526"/>
          <w:sz w:val="24"/>
        </w:rPr>
        <w:t>where the person is a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, an address shown for that person in the register of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maintained by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4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facsimile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electronic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mail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reference which corresponds with the address referred to in clause 1.8.1(b);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person receives the notice.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6" w:after="0"/>
        <w:ind w:left="1253" w:right="0" w:hanging="1134"/>
        <w:jc w:val="left"/>
      </w:pPr>
      <w:r>
        <w:rPr>
          <w:color w:val="262526"/>
        </w:rPr>
        <w:t>Time of</w:t>
      </w:r>
      <w:r>
        <w:rPr>
          <w:color w:val="262526"/>
          <w:spacing w:val="-1"/>
        </w:rPr>
        <w:t> </w:t>
      </w:r>
      <w:r>
        <w:rPr>
          <w:color w:val="262526"/>
        </w:rPr>
        <w:t>service</w:t>
      </w:r>
    </w:p>
    <w:p>
      <w:pPr>
        <w:pStyle w:val="BodyText"/>
        <w:spacing w:before="118"/>
        <w:ind w:left="1253" w:firstLine="0"/>
        <w:jc w:val="both"/>
      </w:pPr>
      <w:r>
        <w:rPr>
          <w:color w:val="262526"/>
        </w:rPr>
        <w:t>A notice is treated as being given to a person by the sender: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8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where sent by post in accordance with clause 1.8.1(b) to an address in the central business district of a capital city of Australia, on the second </w:t>
      </w:r>
      <w:r>
        <w:rPr>
          <w:i/>
          <w:color w:val="262526"/>
          <w:sz w:val="24"/>
        </w:rPr>
        <w:t>business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on which it 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posted;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4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where sent by post in accordance with clause 1.8.1(b) to any other address, on the third </w:t>
      </w:r>
      <w:r>
        <w:rPr>
          <w:i/>
          <w:color w:val="262526"/>
          <w:sz w:val="24"/>
        </w:rPr>
        <w:t>business day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on which it 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posted;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where sent by facsimile in accordance with clause 1.8.1(c) and a complete and correct transmission report is received:</w:t>
      </w:r>
    </w:p>
    <w:p>
      <w:pPr>
        <w:pStyle w:val="ListParagraph"/>
        <w:numPr>
          <w:ilvl w:val="4"/>
          <w:numId w:val="1"/>
        </w:numPr>
        <w:tabs>
          <w:tab w:pos="2388" w:val="left" w:leader="none"/>
        </w:tabs>
        <w:spacing w:line="249" w:lineRule="auto" w:before="17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where the notice is of the type in relation to which the addressee is obliged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to monitor the receipt by facsimile outside of, as well as during, business hours, on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of transmission;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388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in all other cases, on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of transmission if a </w:t>
      </w:r>
      <w:r>
        <w:rPr>
          <w:i/>
          <w:color w:val="262526"/>
          <w:sz w:val="24"/>
        </w:rPr>
        <w:t>business day </w:t>
      </w:r>
      <w:r>
        <w:rPr>
          <w:color w:val="262526"/>
          <w:spacing w:val="-4"/>
          <w:sz w:val="24"/>
        </w:rPr>
        <w:t>or, </w:t>
      </w:r>
      <w:r>
        <w:rPr>
          <w:color w:val="262526"/>
          <w:sz w:val="24"/>
        </w:rPr>
        <w:t>if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the transmission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4.00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pm (addressee's time), at 9.00 am on the following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where sent by electronic mail in accordance with 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1.8.1(c):</w:t>
      </w:r>
    </w:p>
    <w:p>
      <w:pPr>
        <w:pStyle w:val="ListParagraph"/>
        <w:numPr>
          <w:ilvl w:val="4"/>
          <w:numId w:val="1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type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addressee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obliged 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monitor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receipt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electronic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mail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outside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well as during, business hours, on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when the notice is recorded as having been first received at the electronic mail destination; and</w:t>
      </w:r>
    </w:p>
    <w:p>
      <w:pPr>
        <w:pStyle w:val="ListParagraph"/>
        <w:numPr>
          <w:ilvl w:val="4"/>
          <w:numId w:val="1"/>
        </w:numPr>
        <w:tabs>
          <w:tab w:pos="2388" w:val="left" w:leader="none"/>
        </w:tabs>
        <w:spacing w:line="249" w:lineRule="auto" w:before="174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cases,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recorded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been first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electronic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mail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destination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11"/>
          <w:sz w:val="24"/>
        </w:rPr>
        <w:t> </w:t>
      </w:r>
      <w:r>
        <w:rPr>
          <w:color w:val="262526"/>
          <w:spacing w:val="-4"/>
          <w:sz w:val="24"/>
        </w:rPr>
        <w:t>or,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if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spacing w:line="249" w:lineRule="auto" w:before="117"/>
        <w:ind w:left="2387" w:right="28" w:firstLine="0"/>
        <w:jc w:val="left"/>
        <w:rPr>
          <w:sz w:val="24"/>
        </w:rPr>
      </w:pPr>
      <w:bookmarkStart w:name="1.8.3   Counting of days ⁠" w:id="22"/>
      <w:bookmarkEnd w:id="22"/>
      <w:r>
        <w:rPr/>
      </w:r>
      <w:bookmarkStart w:name="1.8.4   Reference to addressee ⁠" w:id="23"/>
      <w:bookmarkEnd w:id="23"/>
      <w:r>
        <w:rPr/>
      </w:r>
      <w:bookmarkStart w:name="1.9   Retention of Records and Documents" w:id="24"/>
      <w:bookmarkEnd w:id="24"/>
      <w:r>
        <w:rPr/>
      </w:r>
      <w:bookmarkStart w:name="1.10   [Deleted] ⁠" w:id="25"/>
      <w:bookmarkEnd w:id="25"/>
      <w:r>
        <w:rPr/>
      </w:r>
      <w:bookmarkStart w:name="1.11   AEMO Rule Funds ⁠" w:id="26"/>
      <w:bookmarkEnd w:id="26"/>
      <w:r>
        <w:rPr/>
      </w:r>
      <w:r>
        <w:rPr>
          <w:color w:val="262526"/>
          <w:sz w:val="24"/>
        </w:rPr>
        <w:t>that time is after 4.00 pm (addressee's time) or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is not a </w:t>
      </w:r>
      <w:r>
        <w:rPr>
          <w:i/>
          <w:color w:val="262526"/>
          <w:sz w:val="24"/>
        </w:rPr>
        <w:t>business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, at 9.00 am on the following </w:t>
      </w:r>
      <w:r>
        <w:rPr>
          <w:i/>
          <w:color w:val="262526"/>
          <w:sz w:val="24"/>
        </w:rPr>
        <w:t>business day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any other case, when the person actually receives 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notice.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6" w:after="0"/>
        <w:ind w:left="1253" w:right="0" w:hanging="1135"/>
        <w:jc w:val="left"/>
      </w:pPr>
      <w:r>
        <w:rPr>
          <w:color w:val="262526"/>
        </w:rPr>
        <w:t>Counting of</w:t>
      </w:r>
      <w:r>
        <w:rPr>
          <w:color w:val="262526"/>
          <w:spacing w:val="-2"/>
        </w:rPr>
        <w:t> </w:t>
      </w:r>
      <w:r>
        <w:rPr>
          <w:color w:val="262526"/>
        </w:rPr>
        <w:t>days</w:t>
      </w:r>
    </w:p>
    <w:p>
      <w:pPr>
        <w:pStyle w:val="BodyText"/>
        <w:spacing w:line="249" w:lineRule="auto" w:before="119"/>
        <w:ind w:left="1253" w:right="115" w:firstLine="0"/>
        <w:jc w:val="both"/>
      </w:pPr>
      <w:r>
        <w:rPr>
          <w:color w:val="262526"/>
        </w:rPr>
        <w:t>Where</w:t>
      </w:r>
      <w:r>
        <w:rPr>
          <w:color w:val="262526"/>
          <w:spacing w:val="-12"/>
        </w:rPr>
        <w:t> </w:t>
      </w:r>
      <w:r>
        <w:rPr>
          <w:color w:val="262526"/>
        </w:rPr>
        <w:t>a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specified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period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(including,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without</w:t>
      </w:r>
      <w:r>
        <w:rPr>
          <w:color w:val="262526"/>
          <w:spacing w:val="-13"/>
        </w:rPr>
        <w:t> </w:t>
      </w:r>
      <w:r>
        <w:rPr>
          <w:color w:val="262526"/>
        </w:rPr>
        <w:t>limitation,</w:t>
      </w:r>
      <w:r>
        <w:rPr>
          <w:color w:val="262526"/>
          <w:spacing w:val="-12"/>
        </w:rPr>
        <w:t> </w:t>
      </w:r>
      <w:r>
        <w:rPr>
          <w:color w:val="262526"/>
        </w:rPr>
        <w:t>a</w:t>
      </w:r>
      <w:r>
        <w:rPr>
          <w:color w:val="262526"/>
          <w:spacing w:val="-11"/>
        </w:rPr>
        <w:t> </w:t>
      </w:r>
      <w:r>
        <w:rPr>
          <w:color w:val="262526"/>
          <w:spacing w:val="-3"/>
        </w:rPr>
        <w:t>particular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number</w:t>
      </w:r>
      <w:r>
        <w:rPr>
          <w:color w:val="262526"/>
          <w:spacing w:val="-13"/>
        </w:rPr>
        <w:t> </w:t>
      </w:r>
      <w:r>
        <w:rPr>
          <w:color w:val="262526"/>
        </w:rPr>
        <w:t>of</w:t>
      </w:r>
      <w:r>
        <w:rPr>
          <w:color w:val="262526"/>
          <w:spacing w:val="-12"/>
        </w:rPr>
        <w:t> </w:t>
      </w:r>
      <w:r>
        <w:rPr>
          <w:i/>
          <w:color w:val="262526"/>
          <w:spacing w:val="-3"/>
        </w:rPr>
        <w:t>days</w:t>
      </w:r>
      <w:r>
        <w:rPr>
          <w:color w:val="262526"/>
          <w:spacing w:val="-3"/>
        </w:rPr>
        <w:t>) </w:t>
      </w:r>
      <w:r>
        <w:rPr>
          <w:color w:val="262526"/>
        </w:rPr>
        <w:t>must elapse or expire from or after the giving of a notice before an action may be taken neither the </w:t>
      </w:r>
      <w:r>
        <w:rPr>
          <w:i/>
          <w:color w:val="262526"/>
        </w:rPr>
        <w:t>day </w:t>
      </w:r>
      <w:r>
        <w:rPr>
          <w:color w:val="262526"/>
        </w:rPr>
        <w:t>on which the notice is given nor the </w:t>
      </w:r>
      <w:r>
        <w:rPr>
          <w:i/>
          <w:color w:val="262526"/>
        </w:rPr>
        <w:t>day </w:t>
      </w:r>
      <w:r>
        <w:rPr>
          <w:color w:val="262526"/>
        </w:rPr>
        <w:t>on which the action is to be taken may be counted in reckoning the period.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37" w:after="0"/>
        <w:ind w:left="1253" w:right="0" w:hanging="1135"/>
        <w:jc w:val="left"/>
      </w:pPr>
      <w:r>
        <w:rPr>
          <w:color w:val="262526"/>
        </w:rPr>
        <w:t>Reference to</w:t>
      </w:r>
      <w:r>
        <w:rPr>
          <w:color w:val="262526"/>
          <w:spacing w:val="-2"/>
        </w:rPr>
        <w:t> </w:t>
      </w:r>
      <w:r>
        <w:rPr>
          <w:color w:val="262526"/>
        </w:rPr>
        <w:t>addressee</w:t>
      </w:r>
    </w:p>
    <w:p>
      <w:pPr>
        <w:pStyle w:val="BodyText"/>
        <w:spacing w:line="249" w:lineRule="auto" w:before="119"/>
        <w:ind w:left="1253" w:right="115" w:firstLine="0"/>
        <w:jc w:val="both"/>
      </w:pPr>
      <w:r>
        <w:rPr>
          <w:color w:val="262526"/>
        </w:rPr>
        <w:t>In this rule 1.8, a reference to an addressee includes a reference to an addressee's officers, agents, or employees or any person reasonably believed by the sender to be an officer, agent or employee of the addressee.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2" w:after="0"/>
        <w:ind w:left="1253" w:right="0" w:hanging="1135"/>
        <w:jc w:val="left"/>
      </w:pPr>
      <w:r>
        <w:rPr>
          <w:color w:val="262526"/>
        </w:rPr>
        <w:t>Retention of Records and</w:t>
      </w:r>
      <w:r>
        <w:rPr>
          <w:color w:val="262526"/>
          <w:spacing w:val="-5"/>
        </w:rPr>
        <w:t> </w:t>
      </w:r>
      <w:r>
        <w:rPr>
          <w:color w:val="262526"/>
        </w:rPr>
        <w:t>Documents</w:t>
      </w:r>
    </w:p>
    <w:p>
      <w:pPr>
        <w:pStyle w:val="BodyText"/>
        <w:spacing w:line="249" w:lineRule="auto" w:before="124"/>
        <w:ind w:left="1253" w:right="117" w:firstLine="0"/>
        <w:jc w:val="both"/>
      </w:pPr>
      <w:r>
        <w:rPr>
          <w:color w:val="262526"/>
        </w:rPr>
        <w:t>Unless otherwise specified in the </w:t>
      </w:r>
      <w:r>
        <w:rPr>
          <w:i/>
          <w:color w:val="262526"/>
        </w:rPr>
        <w:t>Rules</w:t>
      </w:r>
      <w:r>
        <w:rPr>
          <w:color w:val="262526"/>
        </w:rPr>
        <w:t>, all records and documents prepared for or in connection with the </w:t>
      </w:r>
      <w:r>
        <w:rPr>
          <w:i/>
          <w:color w:val="262526"/>
        </w:rPr>
        <w:t>Rules </w:t>
      </w:r>
      <w:r>
        <w:rPr>
          <w:color w:val="262526"/>
        </w:rPr>
        <w:t>must be retained for a period of at least 7 years.</w:t>
      </w:r>
    </w:p>
    <w:p>
      <w:pPr>
        <w:spacing w:before="187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253" w:right="117" w:firstLine="0"/>
        <w:jc w:val="both"/>
        <w:rPr>
          <w:sz w:val="20"/>
        </w:rPr>
      </w:pPr>
      <w:r>
        <w:rPr>
          <w:color w:val="262526"/>
          <w:sz w:val="20"/>
        </w:rPr>
        <w:t>This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classified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civil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penalty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provision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National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(South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Australia) Regulations. (See clause 6(1) and Schedule 1 of the National Electricity (South Australia) Regulations.)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22" w:after="0"/>
        <w:ind w:left="1253" w:right="0" w:hanging="1135"/>
        <w:jc w:val="left"/>
      </w:pPr>
      <w:r>
        <w:rPr>
          <w:color w:val="262526"/>
        </w:rPr>
        <w:t>[Deleted]</w:t>
      </w: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40" w:lineRule="auto" w:before="240" w:after="0"/>
        <w:ind w:left="1244" w:right="0" w:hanging="1126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AEMO Rule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Funds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0" w:lineRule="auto" w:before="181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continue to maintain, in the books of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corporation: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81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registration and administration fund;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security deposit fund;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any other fund which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provide will be maintained in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AEMO's</w:t>
      </w:r>
    </w:p>
    <w:p>
      <w:pPr>
        <w:pStyle w:val="BodyText"/>
        <w:spacing w:before="12"/>
        <w:ind w:left="2387" w:firstLine="0"/>
      </w:pPr>
      <w:r>
        <w:rPr>
          <w:color w:val="262526"/>
        </w:rPr>
        <w:t>books,</w:t>
      </w:r>
    </w:p>
    <w:p>
      <w:pPr>
        <w:spacing w:before="182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(each a "</w:t>
      </w:r>
      <w:r>
        <w:rPr>
          <w:i/>
          <w:color w:val="262526"/>
          <w:sz w:val="24"/>
        </w:rPr>
        <w:t>Rule fund</w:t>
      </w:r>
      <w:r>
        <w:rPr>
          <w:color w:val="262526"/>
          <w:sz w:val="24"/>
        </w:rPr>
        <w:t>" ).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ensure that there is paid into each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in the case of the registration and administration fund, all amounts </w:t>
      </w:r>
      <w:r>
        <w:rPr>
          <w:color w:val="262526"/>
          <w:spacing w:val="-6"/>
          <w:sz w:val="24"/>
        </w:rPr>
        <w:t>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auction expense fees </w:t>
      </w:r>
      <w:r>
        <w:rPr>
          <w:color w:val="262526"/>
          <w:sz w:val="24"/>
        </w:rPr>
        <w:t>and any other amounts payable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auction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SRD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agreements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considers necessary from time to time other than those which are to be paid into another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5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security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deposit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fund,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by</w:t>
      </w:r>
    </w:p>
    <w:p>
      <w:pPr>
        <w:pStyle w:val="BodyText"/>
        <w:spacing w:before="12"/>
        <w:ind w:left="2387" w:firstLine="0"/>
      </w:pPr>
      <w:r>
        <w:rPr>
          <w:i/>
          <w:color w:val="262526"/>
        </w:rPr>
        <w:t>AEMO </w:t>
      </w:r>
      <w:r>
        <w:rPr>
          <w:color w:val="262526"/>
        </w:rPr>
        <w:t>under clauses 3.3.8A, 3.3.13(a)(2) and 3.3.13(a)(3);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the case of a fund referred to in paragraph (a)(3):</w:t>
      </w:r>
    </w:p>
    <w:p>
      <w:pPr>
        <w:pStyle w:val="ListParagraph"/>
        <w:numPr>
          <w:ilvl w:val="2"/>
          <w:numId w:val="3"/>
        </w:numPr>
        <w:tabs>
          <w:tab w:pos="2954" w:val="left" w:leader="none"/>
          <w:tab w:pos="2955" w:val="left" w:leader="none"/>
        </w:tabs>
        <w:spacing w:line="249" w:lineRule="auto" w:before="182" w:after="0"/>
        <w:ind w:left="2954" w:right="112" w:hanging="567"/>
        <w:jc w:val="left"/>
        <w:rPr>
          <w:sz w:val="24"/>
        </w:rPr>
      </w:pPr>
      <w:r>
        <w:rPr>
          <w:color w:val="262526"/>
          <w:sz w:val="24"/>
        </w:rPr>
        <w:t>all amounts which are received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connection with carrying out its functions or powers in relation to that fund;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2"/>
          <w:numId w:val="3"/>
        </w:numPr>
        <w:tabs>
          <w:tab w:pos="2955" w:val="left" w:leader="none"/>
        </w:tabs>
        <w:spacing w:line="249" w:lineRule="auto" w:before="117" w:after="0"/>
        <w:ind w:left="2954" w:right="115" w:hanging="567"/>
        <w:jc w:val="both"/>
        <w:rPr>
          <w:sz w:val="24"/>
        </w:rPr>
      </w:pPr>
      <w:r>
        <w:rPr>
          <w:color w:val="262526"/>
          <w:sz w:val="24"/>
        </w:rPr>
        <w:t>all amounts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which are received or recovered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which relate to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actual or budgeted costs and expenses for carrying out its functions or powers in relation to that fund; and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the case of each </w:t>
      </w:r>
      <w:r>
        <w:rPr>
          <w:i/>
          <w:color w:val="262526"/>
          <w:sz w:val="24"/>
        </w:rPr>
        <w:t>Rule fund</w:t>
      </w:r>
      <w:r>
        <w:rPr>
          <w:color w:val="262526"/>
          <w:sz w:val="24"/>
        </w:rPr>
        <w:t>, income from investment of money in</w:t>
      </w:r>
      <w:r>
        <w:rPr>
          <w:color w:val="262526"/>
          <w:spacing w:val="-41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Rule fund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9" w:lineRule="auto" w:before="183" w:after="0"/>
        <w:ind w:left="1820" w:right="115" w:hanging="567"/>
        <w:jc w:val="left"/>
        <w:rPr>
          <w:sz w:val="24"/>
        </w:rPr>
      </w:pPr>
      <w:r>
        <w:rPr>
          <w:color w:val="262526"/>
          <w:sz w:val="24"/>
        </w:rPr>
        <w:t>In respect of the security deposit fund,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keep records, in respect of each individual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security deposits made by that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and actual interest or other income earned on that </w:t>
      </w:r>
      <w:r>
        <w:rPr>
          <w:i/>
          <w:color w:val="262526"/>
          <w:sz w:val="24"/>
        </w:rPr>
        <w:t>Market Participant's </w:t>
      </w:r>
      <w:r>
        <w:rPr>
          <w:color w:val="262526"/>
          <w:sz w:val="24"/>
        </w:rPr>
        <w:t>payments to that fund which will be recorded as credits for that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any application, or return to that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of monies in </w:t>
      </w:r>
      <w:r>
        <w:rPr>
          <w:color w:val="262526"/>
          <w:spacing w:val="-4"/>
          <w:sz w:val="24"/>
        </w:rPr>
        <w:t>the </w:t>
      </w:r>
      <w:r>
        <w:rPr>
          <w:color w:val="262526"/>
          <w:sz w:val="24"/>
        </w:rPr>
        <w:t>security deposit fund in accordance with 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3.3.13A;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1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deductions for liabilities and expenses of the security deposit fund </w:t>
      </w:r>
      <w:r>
        <w:rPr>
          <w:color w:val="262526"/>
          <w:spacing w:val="-3"/>
          <w:sz w:val="24"/>
        </w:rPr>
        <w:t>referable,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allocated,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will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recorded </w:t>
      </w:r>
      <w:r>
        <w:rPr>
          <w:color w:val="262526"/>
          <w:sz w:val="24"/>
        </w:rPr>
        <w:t>as debits to that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credit or debit balance for that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9" w:lineRule="auto" w:before="182" w:after="0"/>
        <w:ind w:left="1820" w:right="114" w:hanging="567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ensure that money from each </w:t>
      </w:r>
      <w:r>
        <w:rPr>
          <w:i/>
          <w:color w:val="262526"/>
          <w:sz w:val="24"/>
        </w:rPr>
        <w:t>Rule fund </w:t>
      </w:r>
      <w:r>
        <w:rPr>
          <w:color w:val="262526"/>
          <w:sz w:val="24"/>
        </w:rPr>
        <w:t>is only applied in payment of: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2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in the case of the registration and administration fund, costs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expenses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carrying out its functions 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powers:</w:t>
      </w:r>
    </w:p>
    <w:p>
      <w:pPr>
        <w:pStyle w:val="ListParagraph"/>
        <w:numPr>
          <w:ilvl w:val="2"/>
          <w:numId w:val="3"/>
        </w:numPr>
        <w:tabs>
          <w:tab w:pos="2955" w:val="left" w:leader="none"/>
        </w:tabs>
        <w:spacing w:line="249" w:lineRule="auto" w:before="17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fund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(a)(3)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4"/>
          <w:sz w:val="24"/>
        </w:rPr>
        <w:t>that </w:t>
      </w:r>
      <w:r>
        <w:rPr>
          <w:color w:val="262526"/>
          <w:sz w:val="24"/>
        </w:rPr>
        <w:t>such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expenses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cannot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money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contained in that fund; or</w:t>
      </w:r>
    </w:p>
    <w:p>
      <w:pPr>
        <w:pStyle w:val="ListParagraph"/>
        <w:numPr>
          <w:ilvl w:val="2"/>
          <w:numId w:val="3"/>
        </w:numPr>
        <w:tabs>
          <w:tab w:pos="2955" w:val="left" w:leader="none"/>
        </w:tabs>
        <w:spacing w:line="249" w:lineRule="auto" w:before="173" w:after="0"/>
        <w:ind w:left="2954" w:right="116" w:hanging="567"/>
        <w:jc w:val="both"/>
        <w:rPr>
          <w:sz w:val="24"/>
        </w:rPr>
      </w:pPr>
      <w:r>
        <w:rPr>
          <w:color w:val="262526"/>
          <w:sz w:val="24"/>
        </w:rPr>
        <w:t>other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functions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powers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subparagraph (i);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in the case of the security deposit fund, monies owing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by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or the return of monies to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3.3.13A;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fund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(a)(3),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expenses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carrying out its functions or powers in relation to that fund; and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the case of each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2"/>
          <w:numId w:val="3"/>
        </w:numPr>
        <w:tabs>
          <w:tab w:pos="2955" w:val="left" w:leader="none"/>
        </w:tabs>
        <w:spacing w:line="249" w:lineRule="auto" w:before="18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other than the security deposit fund, reimbursement to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another </w:t>
      </w:r>
      <w:r>
        <w:rPr>
          <w:i/>
          <w:color w:val="262526"/>
          <w:sz w:val="24"/>
        </w:rPr>
        <w:t>Rule fund </w:t>
      </w:r>
      <w:r>
        <w:rPr>
          <w:color w:val="262526"/>
          <w:sz w:val="24"/>
        </w:rPr>
        <w:t>to make </w:t>
      </w:r>
      <w:r>
        <w:rPr>
          <w:color w:val="262526"/>
          <w:spacing w:val="2"/>
          <w:sz w:val="24"/>
        </w:rPr>
        <w:t>any </w:t>
      </w:r>
      <w:r>
        <w:rPr>
          <w:color w:val="262526"/>
          <w:sz w:val="24"/>
        </w:rPr>
        <w:t>necessary adjustment for any excess amounts which are paid as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as a result of any of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actual costs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expenses being less than the budgeted costs and expenses or as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 result of the payment of any interim </w:t>
      </w:r>
      <w:r>
        <w:rPr>
          <w:i/>
          <w:color w:val="262526"/>
          <w:sz w:val="24"/>
        </w:rPr>
        <w:t>Participant fees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3"/>
        </w:numPr>
        <w:tabs>
          <w:tab w:pos="2954" w:val="left" w:leader="none"/>
          <w:tab w:pos="2955" w:val="left" w:leader="none"/>
        </w:tabs>
        <w:spacing w:line="240" w:lineRule="auto" w:before="176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liabilities or expenses of the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color w:val="262526"/>
          <w:sz w:val="24"/>
        </w:rPr>
        <w:t>.</w:t>
      </w:r>
    </w:p>
    <w:sectPr>
      <w:pgSz w:w="11910" w:h="16840"/>
      <w:pgMar w:header="642" w:footer="697" w:top="1160" w:bottom="8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05145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82.377106pt;margin-top:796.023254pt;width:32.5500pt;height:14.3pt;mso-position-horizontal-relative:page;mso-position-vertical-relative:page;z-index:-2520504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0545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0535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668701pt;margin-top:31.110886pt;width:69.650pt;height:24.1pt;mso-position-horizontal-relative:page;mso-position-vertical-relative:page;z-index:-2520524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-20" w:firstLine="362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 1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INTRODUCTION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32"/>
        <w:szCs w:val="3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5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6"/>
        <w:szCs w:val="26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5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6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2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44" w:hanging="567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82"/>
      <w:ind w:left="1820" w:hanging="567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40"/>
      <w:ind w:left="1253" w:hanging="1135"/>
      <w:outlineLvl w:val="1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44"/>
      <w:ind w:left="1253" w:hanging="1135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82"/>
      <w:ind w:left="1820" w:hanging="567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2"/>
      <w:ind w:left="89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2019-10-30T03:59:03Z</dcterms:created>
  <dcterms:modified xsi:type="dcterms:W3CDTF">2019-10-30T03:59:03Z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2019-10-30T00:00:00Z</vt:filetime>
  </property>
</Properties>
</file>