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426" w:rsidRDefault="00F56EEC">
      <w:pPr>
        <w:rPr>
          <w:rFonts w:asciiTheme="majorHAnsi" w:hAnsiTheme="majorHAnsi" w:cstheme="majorHAnsi"/>
          <w:sz w:val="20"/>
          <w:szCs w:val="20"/>
        </w:rPr>
      </w:pPr>
      <w:bookmarkStart w:id="0" w:name="_GoBack"/>
      <w:bookmarkEnd w:id="0"/>
      <w:r>
        <w:rPr>
          <w:rFonts w:asciiTheme="majorHAnsi" w:hAnsiTheme="majorHAnsi" w:cstheme="majorHAnsi"/>
          <w:sz w:val="20"/>
          <w:szCs w:val="20"/>
          <w:lang w:eastAsia="en-AU"/>
        </w:rPr>
        <w:pict>
          <v:roundrect id="_x0000_s1081" style="position:absolute;margin-left:-19.05pt;margin-top:-16.35pt;width:796.05pt;height:223.05pt;z-index:251657215" arcsize="10923f" strokecolor="#a5a5a5 [2092]" strokeweight="1.5pt">
            <v:stroke dashstyle="dash"/>
          </v:roundrect>
        </w:pict>
      </w:r>
      <w:r>
        <w:rPr>
          <w:rFonts w:asciiTheme="majorHAnsi" w:hAnsiTheme="majorHAnsi" w:cstheme="majorHAnsi"/>
          <w:sz w:val="20"/>
          <w:szCs w:val="20"/>
          <w:lang w:eastAsia="en-AU"/>
        </w:rPr>
        <w:pict>
          <v:shapetype id="_x0000_t202" coordsize="21600,21600" o:spt="202" path="m,l,21600r21600,l21600,xe">
            <v:stroke joinstyle="miter"/>
            <v:path gradientshapeok="t" o:connecttype="rect"/>
          </v:shapetype>
          <v:shape id="_x0000_s1082" type="#_x0000_t202" style="position:absolute;margin-left:9.95pt;margin-top:-16.35pt;width:52.45pt;height:223.05pt;z-index:251698176" filled="f" stroked="f">
            <v:textbox style="layout-flow:vertical;mso-layout-flow-alt:bottom-to-top;mso-next-textbox:#_x0000_s1082">
              <w:txbxContent>
                <w:p w:rsidR="002A3426" w:rsidRDefault="00A73CAC">
                  <w:pPr>
                    <w:jc w:val="center"/>
                    <w:rPr>
                      <w:rFonts w:ascii="Arial Black" w:hAnsi="Arial Black" w:cstheme="minorHAnsi"/>
                    </w:rPr>
                  </w:pPr>
                  <w:r>
                    <w:rPr>
                      <w:rFonts w:ascii="Arial Black" w:hAnsi="Arial Black" w:cstheme="minorHAnsi"/>
                    </w:rPr>
                    <w:t xml:space="preserve">NATIONAL </w:t>
                  </w:r>
                </w:p>
              </w:txbxContent>
            </v:textbox>
          </v:shape>
        </w:pict>
      </w:r>
      <w:r>
        <w:rPr>
          <w:rFonts w:asciiTheme="majorHAnsi" w:hAnsiTheme="majorHAnsi" w:cstheme="majorHAnsi"/>
          <w:sz w:val="20"/>
          <w:szCs w:val="20"/>
          <w:lang w:eastAsia="en-AU"/>
        </w:rPr>
        <w:pict>
          <v:rect id="_x0000_s1029" style="position:absolute;margin-left:299.95pt;margin-top:-4.8pt;width:221.5pt;height:37.85pt;z-index:251658240" fillcolor="white [3201]" strokecolor="#c0504d [3205]" strokeweight="2.5pt">
            <v:shadow color="#868686"/>
            <v:textbox style="mso-next-textbox:#_x0000_s1029">
              <w:txbxContent>
                <w:p w:rsidR="002A3426" w:rsidRDefault="00A73CAC">
                  <w:pPr>
                    <w:rPr>
                      <w:rFonts w:asciiTheme="majorHAnsi" w:hAnsiTheme="majorHAnsi" w:cstheme="majorHAnsi"/>
                      <w:sz w:val="22"/>
                      <w:szCs w:val="22"/>
                    </w:rPr>
                  </w:pPr>
                  <w:r>
                    <w:rPr>
                      <w:rFonts w:asciiTheme="majorHAnsi" w:hAnsiTheme="majorHAnsi" w:cstheme="majorHAnsi"/>
                      <w:b/>
                      <w:sz w:val="22"/>
                      <w:szCs w:val="22"/>
                    </w:rPr>
                    <w:t xml:space="preserve">National Energy Retail Law </w:t>
                  </w:r>
                  <w:r w:rsidR="00D42849">
                    <w:rPr>
                      <w:rFonts w:asciiTheme="majorHAnsi" w:hAnsiTheme="majorHAnsi" w:cstheme="majorHAnsi"/>
                      <w:b/>
                      <w:sz w:val="22"/>
                      <w:szCs w:val="22"/>
                    </w:rPr>
                    <w:t>(NERL)</w:t>
                  </w:r>
                </w:p>
              </w:txbxContent>
            </v:textbox>
          </v:rect>
        </w:pict>
      </w:r>
      <w:r>
        <w:rPr>
          <w:rFonts w:asciiTheme="majorHAnsi" w:hAnsiTheme="majorHAnsi" w:cstheme="majorHAnsi"/>
          <w:sz w:val="20"/>
          <w:szCs w:val="20"/>
          <w:lang w:eastAsia="en-AU"/>
        </w:rPr>
        <w:pict>
          <v:rect id="_x0000_s1040" style="position:absolute;margin-left:537.45pt;margin-top:-4.8pt;width:217.25pt;height:37.85pt;z-index:251669504" fillcolor="white [3201]" strokecolor="black [3200]" strokeweight="2.5pt">
            <v:shadow color="#868686"/>
            <v:textbox style="mso-next-textbox:#_x0000_s1040">
              <w:txbxContent>
                <w:p w:rsidR="002A3426" w:rsidRDefault="00A73CAC">
                  <w:pPr>
                    <w:rPr>
                      <w:rFonts w:asciiTheme="majorHAnsi" w:hAnsiTheme="majorHAnsi" w:cstheme="majorHAnsi"/>
                      <w:b/>
                      <w:sz w:val="22"/>
                      <w:szCs w:val="22"/>
                    </w:rPr>
                  </w:pPr>
                  <w:r>
                    <w:rPr>
                      <w:rFonts w:asciiTheme="majorHAnsi" w:hAnsiTheme="majorHAnsi" w:cstheme="majorHAnsi"/>
                      <w:b/>
                      <w:sz w:val="22"/>
                      <w:szCs w:val="22"/>
                    </w:rPr>
                    <w:t xml:space="preserve">National Gas Law </w:t>
                  </w:r>
                  <w:r w:rsidR="00D42849">
                    <w:rPr>
                      <w:rFonts w:asciiTheme="majorHAnsi" w:hAnsiTheme="majorHAnsi" w:cstheme="majorHAnsi"/>
                      <w:b/>
                      <w:sz w:val="22"/>
                      <w:szCs w:val="22"/>
                    </w:rPr>
                    <w:t>(NGL)</w:t>
                  </w:r>
                </w:p>
              </w:txbxContent>
            </v:textbox>
          </v:rect>
        </w:pict>
      </w:r>
      <w:r>
        <w:rPr>
          <w:rFonts w:asciiTheme="majorHAnsi" w:hAnsiTheme="majorHAnsi" w:cstheme="majorHAnsi"/>
          <w:sz w:val="20"/>
          <w:szCs w:val="20"/>
          <w:lang w:eastAsia="en-AU"/>
        </w:rPr>
        <w:pict>
          <v:rect id="_x0000_s1039" style="position:absolute;margin-left:69pt;margin-top:-4.8pt;width:215.25pt;height:37.85pt;z-index:251668480" fillcolor="white [3201]" strokecolor="black [3200]" strokeweight="2.5pt">
            <v:shadow color="#868686"/>
            <v:textbox style="mso-next-textbox:#_x0000_s1039">
              <w:txbxContent>
                <w:p w:rsidR="002A3426" w:rsidRDefault="00A73CAC">
                  <w:pPr>
                    <w:rPr>
                      <w:rFonts w:asciiTheme="majorHAnsi" w:hAnsiTheme="majorHAnsi" w:cstheme="majorHAnsi"/>
                      <w:b/>
                      <w:sz w:val="22"/>
                      <w:szCs w:val="22"/>
                    </w:rPr>
                  </w:pPr>
                  <w:r>
                    <w:rPr>
                      <w:rFonts w:asciiTheme="majorHAnsi" w:hAnsiTheme="majorHAnsi" w:cstheme="majorHAnsi"/>
                      <w:b/>
                      <w:sz w:val="22"/>
                      <w:szCs w:val="22"/>
                    </w:rPr>
                    <w:t>National Electricity Law</w:t>
                  </w:r>
                  <w:r w:rsidR="00D42849">
                    <w:rPr>
                      <w:rFonts w:asciiTheme="majorHAnsi" w:hAnsiTheme="majorHAnsi" w:cstheme="majorHAnsi"/>
                      <w:b/>
                      <w:sz w:val="22"/>
                      <w:szCs w:val="22"/>
                    </w:rPr>
                    <w:t xml:space="preserve"> (NEL)</w:t>
                  </w:r>
                </w:p>
              </w:txbxContent>
            </v:textbox>
          </v:rect>
        </w:pict>
      </w:r>
      <w:r>
        <w:rPr>
          <w:rFonts w:asciiTheme="majorHAnsi" w:hAnsiTheme="majorHAnsi" w:cstheme="majorHAnsi"/>
          <w:sz w:val="20"/>
          <w:szCs w:val="20"/>
          <w:lang w:eastAsia="en-A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3" type="#_x0000_t34" style="position:absolute;margin-left:-69.4pt;margin-top:87.2pt;width:18.65pt;height:15.6pt;rotation:90;flip:x;z-index:251687936" o:connectortype="elbow" adj="22179,116585,-117613">
            <v:stroke endarrow="block"/>
          </v:shape>
        </w:pict>
      </w:r>
    </w:p>
    <w:p w:rsidR="002A3426" w:rsidRDefault="002A3426">
      <w:pPr>
        <w:rPr>
          <w:rFonts w:asciiTheme="majorHAnsi" w:hAnsiTheme="majorHAnsi" w:cstheme="majorHAnsi"/>
          <w:sz w:val="20"/>
          <w:szCs w:val="20"/>
        </w:rPr>
      </w:pPr>
    </w:p>
    <w:p w:rsidR="002A3426" w:rsidRDefault="002A3426">
      <w:pPr>
        <w:rPr>
          <w:rFonts w:asciiTheme="majorHAnsi" w:hAnsiTheme="majorHAnsi" w:cstheme="majorHAnsi"/>
          <w:sz w:val="20"/>
          <w:szCs w:val="20"/>
        </w:rPr>
      </w:pPr>
    </w:p>
    <w:p w:rsidR="002A3426" w:rsidRDefault="00F56EEC">
      <w:pPr>
        <w:rPr>
          <w:rFonts w:asciiTheme="majorHAnsi" w:hAnsiTheme="majorHAnsi" w:cstheme="majorHAnsi"/>
          <w:sz w:val="20"/>
          <w:szCs w:val="20"/>
        </w:rPr>
      </w:pPr>
      <w:r>
        <w:rPr>
          <w:rFonts w:asciiTheme="majorHAnsi" w:hAnsiTheme="majorHAnsi" w:cstheme="majorHAnsi"/>
          <w:noProof/>
          <w:sz w:val="20"/>
          <w:szCs w:val="20"/>
          <w:lang w:eastAsia="en-AU"/>
        </w:rPr>
        <w:pict>
          <v:rect id="_x0000_s1075" style="position:absolute;margin-left:69.9pt;margin-top:8.7pt;width:214.8pt;height:26.5pt;z-index:251696128" fillcolor="white [3201]" strokecolor="black [3200]" strokeweight="2.5pt">
            <v:shadow color="#868686"/>
            <v:textbox style="mso-next-textbox:#_x0000_s1075">
              <w:txbxContent>
                <w:p w:rsidR="002A3426" w:rsidRDefault="00A73CAC">
                  <w:pPr>
                    <w:rPr>
                      <w:rFonts w:asciiTheme="majorHAnsi" w:hAnsiTheme="majorHAnsi" w:cstheme="majorHAnsi"/>
                      <w:sz w:val="22"/>
                      <w:szCs w:val="22"/>
                    </w:rPr>
                  </w:pPr>
                  <w:r>
                    <w:rPr>
                      <w:rFonts w:asciiTheme="majorHAnsi" w:hAnsiTheme="majorHAnsi" w:cstheme="majorHAnsi"/>
                      <w:b/>
                      <w:sz w:val="22"/>
                      <w:szCs w:val="22"/>
                    </w:rPr>
                    <w:t xml:space="preserve">National Electricity Regulations </w:t>
                  </w:r>
                </w:p>
              </w:txbxContent>
            </v:textbox>
          </v:rect>
        </w:pict>
      </w:r>
      <w:r>
        <w:rPr>
          <w:rFonts w:asciiTheme="majorHAnsi" w:hAnsiTheme="majorHAnsi" w:cstheme="majorHAnsi"/>
          <w:noProof/>
          <w:sz w:val="20"/>
          <w:szCs w:val="20"/>
          <w:lang w:eastAsia="en-AU"/>
        </w:rPr>
        <w:pict>
          <v:rect id="_x0000_s1049" style="position:absolute;margin-left:301.7pt;margin-top:7.7pt;width:219.75pt;height:26.5pt;z-index:251677696" fillcolor="white [3201]" strokecolor="#c0504d [3205]" strokeweight="2.5pt">
            <v:shadow color="#868686"/>
            <v:textbox style="mso-next-textbox:#_x0000_s1049">
              <w:txbxContent>
                <w:p w:rsidR="002A3426" w:rsidRDefault="00A73CAC">
                  <w:pPr>
                    <w:rPr>
                      <w:rFonts w:asciiTheme="majorHAnsi" w:hAnsiTheme="majorHAnsi" w:cstheme="majorHAnsi"/>
                      <w:b/>
                      <w:sz w:val="22"/>
                      <w:szCs w:val="22"/>
                    </w:rPr>
                  </w:pPr>
                  <w:r>
                    <w:rPr>
                      <w:rFonts w:asciiTheme="majorHAnsi" w:hAnsiTheme="majorHAnsi" w:cstheme="majorHAnsi"/>
                      <w:b/>
                      <w:sz w:val="22"/>
                      <w:szCs w:val="22"/>
                    </w:rPr>
                    <w:t xml:space="preserve">National Energy Retail Regulations </w:t>
                  </w:r>
                </w:p>
              </w:txbxContent>
            </v:textbox>
          </v:rect>
        </w:pict>
      </w:r>
      <w:r>
        <w:rPr>
          <w:rFonts w:asciiTheme="majorHAnsi" w:hAnsiTheme="majorHAnsi" w:cstheme="majorHAnsi"/>
          <w:noProof/>
          <w:sz w:val="20"/>
          <w:szCs w:val="20"/>
          <w:lang w:eastAsia="en-AU"/>
        </w:rPr>
        <w:pict>
          <v:rect id="_x0000_s1076" style="position:absolute;margin-left:537.35pt;margin-top:7.7pt;width:217.35pt;height:27.5pt;z-index:251697152" fillcolor="white [3201]" strokecolor="black [3200]" strokeweight="2.5pt">
            <v:shadow color="#868686"/>
            <v:textbox style="mso-next-textbox:#_x0000_s1076">
              <w:txbxContent>
                <w:p w:rsidR="002A3426" w:rsidRDefault="00A73CAC">
                  <w:pPr>
                    <w:rPr>
                      <w:rFonts w:asciiTheme="majorHAnsi" w:hAnsiTheme="majorHAnsi" w:cstheme="majorHAnsi"/>
                      <w:sz w:val="22"/>
                      <w:szCs w:val="22"/>
                    </w:rPr>
                  </w:pPr>
                  <w:r>
                    <w:rPr>
                      <w:rFonts w:asciiTheme="majorHAnsi" w:hAnsiTheme="majorHAnsi" w:cstheme="majorHAnsi"/>
                      <w:b/>
                      <w:sz w:val="22"/>
                      <w:szCs w:val="22"/>
                    </w:rPr>
                    <w:t xml:space="preserve">National Gas Regulations </w:t>
                  </w:r>
                </w:p>
              </w:txbxContent>
            </v:textbox>
          </v:rect>
        </w:pict>
      </w:r>
    </w:p>
    <w:p w:rsidR="002A3426" w:rsidRDefault="002A3426">
      <w:pPr>
        <w:rPr>
          <w:rFonts w:asciiTheme="majorHAnsi" w:hAnsiTheme="majorHAnsi" w:cstheme="majorHAnsi"/>
          <w:sz w:val="20"/>
          <w:szCs w:val="20"/>
        </w:rPr>
      </w:pPr>
    </w:p>
    <w:p w:rsidR="002A3426" w:rsidRDefault="002A3426">
      <w:pPr>
        <w:rPr>
          <w:rFonts w:asciiTheme="majorHAnsi" w:hAnsiTheme="majorHAnsi" w:cstheme="majorHAnsi"/>
          <w:sz w:val="20"/>
          <w:szCs w:val="20"/>
        </w:rPr>
      </w:pPr>
    </w:p>
    <w:p w:rsidR="002A3426" w:rsidRDefault="002A3426">
      <w:pPr>
        <w:rPr>
          <w:rFonts w:asciiTheme="majorHAnsi" w:hAnsiTheme="majorHAnsi" w:cstheme="majorHAnsi"/>
          <w:sz w:val="20"/>
          <w:szCs w:val="20"/>
        </w:rPr>
      </w:pPr>
    </w:p>
    <w:p w:rsidR="002A3426" w:rsidRDefault="00F56EEC">
      <w:pPr>
        <w:rPr>
          <w:rFonts w:asciiTheme="majorHAnsi" w:hAnsiTheme="majorHAnsi" w:cstheme="majorHAnsi"/>
          <w:sz w:val="20"/>
          <w:szCs w:val="20"/>
        </w:rPr>
      </w:pPr>
      <w:r>
        <w:rPr>
          <w:rFonts w:asciiTheme="majorHAnsi" w:hAnsiTheme="majorHAnsi" w:cstheme="majorHAnsi"/>
          <w:noProof/>
          <w:sz w:val="20"/>
          <w:szCs w:val="20"/>
          <w:lang w:eastAsia="en-AU"/>
        </w:rPr>
        <w:pict>
          <v:rect id="_x0000_s1038" style="position:absolute;margin-left:537.25pt;margin-top:.2pt;width:217.35pt;height:29.3pt;z-index:251667456" fillcolor="white [3201]" strokecolor="black [3200]" strokeweight="2.5pt">
            <v:shadow color="#868686"/>
            <v:textbox style="mso-next-textbox:#_x0000_s1038">
              <w:txbxContent>
                <w:p w:rsidR="002A3426" w:rsidRDefault="00A73CAC">
                  <w:pPr>
                    <w:rPr>
                      <w:rFonts w:asciiTheme="majorHAnsi" w:hAnsiTheme="majorHAnsi" w:cstheme="majorHAnsi"/>
                      <w:b/>
                      <w:sz w:val="22"/>
                      <w:szCs w:val="22"/>
                    </w:rPr>
                  </w:pPr>
                  <w:r>
                    <w:rPr>
                      <w:rFonts w:asciiTheme="majorHAnsi" w:hAnsiTheme="majorHAnsi" w:cstheme="majorHAnsi"/>
                      <w:b/>
                      <w:sz w:val="22"/>
                      <w:szCs w:val="22"/>
                    </w:rPr>
                    <w:t xml:space="preserve">National Gas Rules </w:t>
                  </w:r>
                  <w:r>
                    <w:rPr>
                      <w:rFonts w:asciiTheme="majorHAnsi" w:hAnsiTheme="majorHAnsi" w:cstheme="majorHAnsi"/>
                      <w:b/>
                      <w:sz w:val="32"/>
                      <w:szCs w:val="32"/>
                    </w:rPr>
                    <w:t>*</w:t>
                  </w:r>
                  <w:r w:rsidR="00D42849">
                    <w:rPr>
                      <w:rFonts w:asciiTheme="majorHAnsi" w:hAnsiTheme="majorHAnsi" w:cstheme="majorHAnsi"/>
                      <w:b/>
                      <w:sz w:val="32"/>
                      <w:szCs w:val="32"/>
                    </w:rPr>
                    <w:t xml:space="preserve"> </w:t>
                  </w:r>
                  <w:r w:rsidR="00D42849" w:rsidRPr="00D42849">
                    <w:rPr>
                      <w:rFonts w:asciiTheme="majorHAnsi" w:hAnsiTheme="majorHAnsi" w:cstheme="majorHAnsi"/>
                      <w:b/>
                      <w:sz w:val="22"/>
                      <w:szCs w:val="22"/>
                    </w:rPr>
                    <w:t>(NGR)</w:t>
                  </w:r>
                </w:p>
              </w:txbxContent>
            </v:textbox>
          </v:rect>
        </w:pict>
      </w:r>
      <w:r>
        <w:rPr>
          <w:rFonts w:asciiTheme="majorHAnsi" w:hAnsiTheme="majorHAnsi" w:cstheme="majorHAnsi"/>
          <w:noProof/>
          <w:sz w:val="20"/>
          <w:szCs w:val="20"/>
          <w:lang w:eastAsia="en-AU"/>
        </w:rPr>
        <w:pict>
          <v:rect id="_x0000_s1037" style="position:absolute;margin-left:72.05pt;margin-top:.2pt;width:214.8pt;height:29.3pt;z-index:251666432" fillcolor="white [3201]" strokecolor="black [3200]" strokeweight="2.5pt">
            <v:shadow color="#868686"/>
            <v:textbox style="mso-next-textbox:#_x0000_s1037">
              <w:txbxContent>
                <w:p w:rsidR="002A3426" w:rsidRDefault="00A73CAC">
                  <w:pPr>
                    <w:rPr>
                      <w:rFonts w:asciiTheme="majorHAnsi" w:hAnsiTheme="majorHAnsi" w:cstheme="majorHAnsi"/>
                      <w:b/>
                      <w:sz w:val="22"/>
                      <w:szCs w:val="22"/>
                    </w:rPr>
                  </w:pPr>
                  <w:r>
                    <w:rPr>
                      <w:rFonts w:asciiTheme="majorHAnsi" w:hAnsiTheme="majorHAnsi" w:cstheme="majorHAnsi"/>
                      <w:b/>
                      <w:sz w:val="22"/>
                      <w:szCs w:val="22"/>
                    </w:rPr>
                    <w:t xml:space="preserve">National Electricity Rules </w:t>
                  </w:r>
                  <w:r>
                    <w:rPr>
                      <w:rFonts w:asciiTheme="majorHAnsi" w:hAnsiTheme="majorHAnsi" w:cstheme="majorHAnsi"/>
                      <w:b/>
                      <w:sz w:val="32"/>
                      <w:szCs w:val="32"/>
                    </w:rPr>
                    <w:t>*</w:t>
                  </w:r>
                  <w:r w:rsidR="00D42849">
                    <w:rPr>
                      <w:rFonts w:asciiTheme="majorHAnsi" w:hAnsiTheme="majorHAnsi" w:cstheme="majorHAnsi"/>
                      <w:b/>
                      <w:sz w:val="32"/>
                      <w:szCs w:val="32"/>
                    </w:rPr>
                    <w:t xml:space="preserve"> </w:t>
                  </w:r>
                  <w:r w:rsidR="00D42849" w:rsidRPr="00D42849">
                    <w:rPr>
                      <w:rFonts w:asciiTheme="majorHAnsi" w:hAnsiTheme="majorHAnsi" w:cstheme="majorHAnsi"/>
                      <w:b/>
                      <w:sz w:val="22"/>
                      <w:szCs w:val="22"/>
                    </w:rPr>
                    <w:t>(NER)</w:t>
                  </w:r>
                </w:p>
              </w:txbxContent>
            </v:textbox>
          </v:rect>
        </w:pict>
      </w:r>
      <w:r>
        <w:rPr>
          <w:rFonts w:asciiTheme="majorHAnsi" w:hAnsiTheme="majorHAnsi" w:cstheme="majorHAnsi"/>
          <w:noProof/>
          <w:sz w:val="20"/>
          <w:szCs w:val="20"/>
          <w:lang w:eastAsia="en-AU"/>
        </w:rPr>
        <w:pict>
          <v:rect id="_x0000_s1030" style="position:absolute;margin-left:299.95pt;margin-top:.2pt;width:223.4pt;height:29.3pt;z-index:251659264" fillcolor="white [3201]" strokecolor="#c0504d [3205]" strokeweight="2.5pt">
            <v:shadow color="#868686"/>
            <v:textbox style="mso-next-textbox:#_x0000_s1030">
              <w:txbxContent>
                <w:p w:rsidR="002A3426" w:rsidRPr="00D42849" w:rsidRDefault="00A73CAC">
                  <w:pPr>
                    <w:rPr>
                      <w:rFonts w:asciiTheme="majorHAnsi" w:hAnsiTheme="majorHAnsi" w:cstheme="majorHAnsi"/>
                      <w:sz w:val="22"/>
                      <w:szCs w:val="22"/>
                    </w:rPr>
                  </w:pPr>
                  <w:r>
                    <w:rPr>
                      <w:rFonts w:asciiTheme="majorHAnsi" w:hAnsiTheme="majorHAnsi" w:cstheme="majorHAnsi"/>
                      <w:b/>
                      <w:sz w:val="22"/>
                      <w:szCs w:val="22"/>
                    </w:rPr>
                    <w:t xml:space="preserve">National Energy Retail Rules </w:t>
                  </w:r>
                  <w:r>
                    <w:rPr>
                      <w:rFonts w:asciiTheme="majorHAnsi" w:hAnsiTheme="majorHAnsi" w:cstheme="majorHAnsi"/>
                      <w:b/>
                      <w:sz w:val="32"/>
                      <w:szCs w:val="32"/>
                    </w:rPr>
                    <w:t>*</w:t>
                  </w:r>
                  <w:r w:rsidR="00D42849" w:rsidRPr="00D42849">
                    <w:rPr>
                      <w:rFonts w:asciiTheme="majorHAnsi" w:hAnsiTheme="majorHAnsi" w:cstheme="majorHAnsi"/>
                      <w:b/>
                      <w:sz w:val="22"/>
                      <w:szCs w:val="32"/>
                    </w:rPr>
                    <w:t>(NERR)</w:t>
                  </w:r>
                </w:p>
              </w:txbxContent>
            </v:textbox>
          </v:rect>
        </w:pict>
      </w:r>
    </w:p>
    <w:p w:rsidR="002A3426" w:rsidRDefault="002A3426">
      <w:pPr>
        <w:rPr>
          <w:rFonts w:asciiTheme="majorHAnsi" w:hAnsiTheme="majorHAnsi" w:cstheme="majorHAnsi"/>
          <w:sz w:val="20"/>
          <w:szCs w:val="20"/>
        </w:rPr>
      </w:pPr>
    </w:p>
    <w:p w:rsidR="002A3426" w:rsidRDefault="002A3426">
      <w:pPr>
        <w:rPr>
          <w:rFonts w:asciiTheme="majorHAnsi" w:hAnsiTheme="majorHAnsi" w:cstheme="majorHAnsi"/>
          <w:sz w:val="20"/>
          <w:szCs w:val="20"/>
        </w:rPr>
      </w:pPr>
    </w:p>
    <w:p w:rsidR="002A3426" w:rsidRDefault="00F56EEC">
      <w:pPr>
        <w:rPr>
          <w:rFonts w:asciiTheme="majorHAnsi" w:hAnsiTheme="majorHAnsi" w:cstheme="majorHAnsi"/>
          <w:sz w:val="20"/>
          <w:szCs w:val="20"/>
        </w:rPr>
      </w:pPr>
      <w:r>
        <w:rPr>
          <w:rFonts w:asciiTheme="majorHAnsi" w:hAnsiTheme="majorHAnsi" w:cstheme="majorHAnsi"/>
          <w:noProof/>
          <w:sz w:val="20"/>
          <w:szCs w:val="20"/>
          <w:lang w:eastAsia="en-AU"/>
        </w:rPr>
        <w:pict>
          <v:rect id="_x0000_s1109" style="position:absolute;margin-left:537.25pt;margin-top:.35pt;width:218.45pt;height:28.9pt;z-index:251716608">
            <v:textbox style="mso-next-textbox:#_x0000_s1109">
              <w:txbxContent>
                <w:p w:rsidR="002A3426" w:rsidRDefault="00A73CAC">
                  <w:pPr>
                    <w:rPr>
                      <w:rFonts w:asciiTheme="majorHAnsi" w:hAnsiTheme="majorHAnsi" w:cstheme="majorHAnsi"/>
                      <w:sz w:val="22"/>
                      <w:szCs w:val="22"/>
                    </w:rPr>
                  </w:pPr>
                  <w:r>
                    <w:rPr>
                      <w:rFonts w:asciiTheme="majorHAnsi" w:hAnsiTheme="majorHAnsi" w:cstheme="majorHAnsi"/>
                      <w:sz w:val="22"/>
                      <w:szCs w:val="22"/>
                    </w:rPr>
                    <w:t>AEMO Retail Market Procedures (5)</w:t>
                  </w:r>
                </w:p>
              </w:txbxContent>
            </v:textbox>
          </v:rect>
        </w:pict>
      </w:r>
      <w:r>
        <w:rPr>
          <w:rFonts w:asciiTheme="majorHAnsi" w:hAnsiTheme="majorHAnsi" w:cstheme="majorHAnsi"/>
          <w:noProof/>
          <w:sz w:val="20"/>
          <w:szCs w:val="20"/>
          <w:lang w:eastAsia="en-AU"/>
        </w:rPr>
        <w:pict>
          <v:rect id="_x0000_s1052" style="position:absolute;margin-left:299.95pt;margin-top:.95pt;width:223.4pt;height:28.85pt;z-index:251680768">
            <v:textbox style="mso-next-textbox:#_x0000_s1052">
              <w:txbxContent>
                <w:p w:rsidR="002A3426" w:rsidRDefault="00A73CAC">
                  <w:pPr>
                    <w:rPr>
                      <w:rFonts w:asciiTheme="majorHAnsi" w:hAnsiTheme="majorHAnsi" w:cstheme="majorHAnsi"/>
                      <w:sz w:val="22"/>
                      <w:szCs w:val="22"/>
                    </w:rPr>
                  </w:pPr>
                  <w:r>
                    <w:rPr>
                      <w:rFonts w:asciiTheme="majorHAnsi" w:hAnsiTheme="majorHAnsi" w:cstheme="majorHAnsi"/>
                      <w:sz w:val="22"/>
                      <w:szCs w:val="22"/>
                    </w:rPr>
                    <w:t>AER Guidelines (2)</w:t>
                  </w:r>
                </w:p>
              </w:txbxContent>
            </v:textbox>
          </v:rect>
        </w:pict>
      </w:r>
      <w:r>
        <w:rPr>
          <w:rFonts w:asciiTheme="majorHAnsi" w:hAnsiTheme="majorHAnsi" w:cstheme="majorHAnsi"/>
          <w:noProof/>
          <w:sz w:val="20"/>
          <w:szCs w:val="20"/>
          <w:lang w:eastAsia="en-AU"/>
        </w:rPr>
        <w:pict>
          <v:rect id="_x0000_s1107" style="position:absolute;margin-left:71.6pt;margin-top:.95pt;width:216.95pt;height:28.85pt;z-index:251714560">
            <v:textbox style="mso-next-textbox:#_x0000_s1107">
              <w:txbxContent>
                <w:p w:rsidR="002A3426" w:rsidRDefault="00A73CAC">
                  <w:pPr>
                    <w:rPr>
                      <w:rFonts w:asciiTheme="majorHAnsi" w:hAnsiTheme="majorHAnsi" w:cstheme="majorHAnsi"/>
                      <w:sz w:val="22"/>
                      <w:szCs w:val="22"/>
                    </w:rPr>
                  </w:pPr>
                  <w:r>
                    <w:rPr>
                      <w:rFonts w:asciiTheme="majorHAnsi" w:hAnsiTheme="majorHAnsi" w:cstheme="majorHAnsi"/>
                      <w:sz w:val="22"/>
                      <w:szCs w:val="22"/>
                    </w:rPr>
                    <w:t>AER Guidelines (1)</w:t>
                  </w:r>
                </w:p>
              </w:txbxContent>
            </v:textbox>
          </v:rect>
        </w:pict>
      </w:r>
    </w:p>
    <w:p w:rsidR="002A3426" w:rsidRDefault="002A3426">
      <w:pPr>
        <w:rPr>
          <w:rFonts w:asciiTheme="majorHAnsi" w:hAnsiTheme="majorHAnsi" w:cstheme="majorHAnsi"/>
          <w:sz w:val="20"/>
          <w:szCs w:val="20"/>
        </w:rPr>
      </w:pPr>
    </w:p>
    <w:p w:rsidR="002A3426" w:rsidRDefault="002A3426">
      <w:pPr>
        <w:rPr>
          <w:rFonts w:asciiTheme="majorHAnsi" w:hAnsiTheme="majorHAnsi" w:cstheme="majorHAnsi"/>
          <w:sz w:val="20"/>
          <w:szCs w:val="20"/>
        </w:rPr>
      </w:pPr>
    </w:p>
    <w:p w:rsidR="002A3426" w:rsidRDefault="00F56EEC">
      <w:pPr>
        <w:rPr>
          <w:rFonts w:asciiTheme="majorHAnsi" w:hAnsiTheme="majorHAnsi" w:cstheme="majorHAnsi"/>
          <w:sz w:val="20"/>
          <w:szCs w:val="20"/>
        </w:rPr>
      </w:pPr>
      <w:r>
        <w:rPr>
          <w:rFonts w:asciiTheme="majorHAnsi" w:hAnsiTheme="majorHAnsi" w:cstheme="majorHAnsi"/>
          <w:noProof/>
          <w:sz w:val="20"/>
          <w:szCs w:val="20"/>
          <w:lang w:eastAsia="en-AU"/>
        </w:rPr>
        <w:pict>
          <v:rect id="_x0000_s1100" style="position:absolute;margin-left:537.45pt;margin-top:.75pt;width:218.45pt;height:23.45pt;z-index:251712512">
            <v:textbox style="mso-next-textbox:#_x0000_s1100">
              <w:txbxContent>
                <w:p w:rsidR="002A3426" w:rsidRDefault="00A73CAC">
                  <w:pPr>
                    <w:rPr>
                      <w:rFonts w:asciiTheme="majorHAnsi" w:hAnsiTheme="majorHAnsi" w:cstheme="majorHAnsi"/>
                      <w:sz w:val="20"/>
                      <w:szCs w:val="22"/>
                    </w:rPr>
                  </w:pPr>
                  <w:r>
                    <w:rPr>
                      <w:rFonts w:asciiTheme="majorHAnsi" w:hAnsiTheme="majorHAnsi" w:cstheme="majorHAnsi"/>
                      <w:sz w:val="20"/>
                      <w:szCs w:val="22"/>
                    </w:rPr>
                    <w:t xml:space="preserve">Gas access arrangements </w:t>
                  </w:r>
                </w:p>
              </w:txbxContent>
            </v:textbox>
          </v:rect>
        </w:pict>
      </w:r>
      <w:r>
        <w:rPr>
          <w:rFonts w:asciiTheme="majorHAnsi" w:hAnsiTheme="majorHAnsi" w:cstheme="majorHAnsi"/>
          <w:noProof/>
          <w:sz w:val="20"/>
          <w:szCs w:val="20"/>
          <w:lang w:eastAsia="en-AU"/>
        </w:rPr>
        <w:pict>
          <v:rect id="_x0000_s1111" style="position:absolute;margin-left:300.55pt;margin-top:.75pt;width:222.8pt;height:23.45pt;z-index:251718656">
            <v:textbox style="mso-next-textbox:#_x0000_s1111">
              <w:txbxContent>
                <w:p w:rsidR="002A3426" w:rsidRDefault="00A73CAC">
                  <w:pPr>
                    <w:rPr>
                      <w:rFonts w:asciiTheme="majorHAnsi" w:hAnsiTheme="majorHAnsi" w:cstheme="majorHAnsi"/>
                      <w:sz w:val="22"/>
                      <w:szCs w:val="22"/>
                    </w:rPr>
                  </w:pPr>
                  <w:r>
                    <w:rPr>
                      <w:rFonts w:asciiTheme="majorHAnsi" w:hAnsiTheme="majorHAnsi" w:cstheme="majorHAnsi"/>
                      <w:sz w:val="22"/>
                      <w:szCs w:val="22"/>
                    </w:rPr>
                    <w:t>AEMO Procedures (4)</w:t>
                  </w:r>
                </w:p>
              </w:txbxContent>
            </v:textbox>
          </v:rect>
        </w:pict>
      </w:r>
      <w:r>
        <w:rPr>
          <w:rFonts w:asciiTheme="majorHAnsi" w:hAnsiTheme="majorHAnsi" w:cstheme="majorHAnsi"/>
          <w:noProof/>
          <w:sz w:val="20"/>
          <w:szCs w:val="20"/>
          <w:lang w:eastAsia="en-AU"/>
        </w:rPr>
        <w:pict>
          <v:rect id="_x0000_s1110" style="position:absolute;margin-left:72.05pt;margin-top:.75pt;width:216.5pt;height:23.45pt;z-index:251717632">
            <v:textbox style="mso-next-textbox:#_x0000_s1110">
              <w:txbxContent>
                <w:p w:rsidR="002A3426" w:rsidRDefault="00A73CAC">
                  <w:pPr>
                    <w:rPr>
                      <w:rFonts w:asciiTheme="majorHAnsi" w:hAnsiTheme="majorHAnsi" w:cstheme="majorHAnsi"/>
                      <w:sz w:val="22"/>
                      <w:szCs w:val="22"/>
                    </w:rPr>
                  </w:pPr>
                  <w:r>
                    <w:rPr>
                      <w:rFonts w:asciiTheme="majorHAnsi" w:hAnsiTheme="majorHAnsi" w:cstheme="majorHAnsi"/>
                      <w:sz w:val="22"/>
                      <w:szCs w:val="22"/>
                    </w:rPr>
                    <w:t>AEMO Retail Market Procedures (3)</w:t>
                  </w:r>
                </w:p>
              </w:txbxContent>
            </v:textbox>
          </v:rect>
        </w:pict>
      </w:r>
    </w:p>
    <w:p w:rsidR="002A3426" w:rsidRDefault="002A3426">
      <w:pPr>
        <w:rPr>
          <w:rFonts w:asciiTheme="majorHAnsi" w:hAnsiTheme="majorHAnsi" w:cstheme="majorHAnsi"/>
          <w:sz w:val="20"/>
          <w:szCs w:val="20"/>
        </w:rPr>
      </w:pPr>
    </w:p>
    <w:p w:rsidR="002A3426" w:rsidRDefault="00F56EEC">
      <w:pPr>
        <w:rPr>
          <w:rFonts w:asciiTheme="majorHAnsi" w:hAnsiTheme="majorHAnsi" w:cstheme="majorHAnsi"/>
          <w:sz w:val="20"/>
          <w:szCs w:val="20"/>
        </w:rPr>
      </w:pPr>
      <w:r>
        <w:rPr>
          <w:rFonts w:asciiTheme="majorHAnsi" w:hAnsiTheme="majorHAnsi" w:cstheme="majorHAnsi"/>
          <w:noProof/>
          <w:sz w:val="20"/>
          <w:szCs w:val="20"/>
          <w:lang w:eastAsia="en-AU"/>
        </w:rPr>
        <w:pict>
          <v:rect id="_x0000_s1101" style="position:absolute;margin-left:72.05pt;margin-top:6.6pt;width:216.5pt;height:20.65pt;z-index:251713536">
            <v:textbox style="mso-next-textbox:#_x0000_s1101">
              <w:txbxContent>
                <w:p w:rsidR="002A3426" w:rsidRDefault="00A73CAC">
                  <w:pPr>
                    <w:rPr>
                      <w:rFonts w:asciiTheme="majorHAnsi" w:hAnsiTheme="majorHAnsi" w:cstheme="majorHAnsi"/>
                      <w:sz w:val="20"/>
                      <w:szCs w:val="22"/>
                    </w:rPr>
                  </w:pPr>
                  <w:r>
                    <w:rPr>
                      <w:rFonts w:asciiTheme="majorHAnsi" w:hAnsiTheme="majorHAnsi" w:cstheme="majorHAnsi"/>
                      <w:sz w:val="20"/>
                      <w:szCs w:val="22"/>
                    </w:rPr>
                    <w:t xml:space="preserve">Electricity distribution determinations </w:t>
                  </w:r>
                </w:p>
              </w:txbxContent>
            </v:textbox>
          </v:rect>
        </w:pict>
      </w:r>
    </w:p>
    <w:p w:rsidR="002A3426" w:rsidRDefault="002A3426">
      <w:pPr>
        <w:rPr>
          <w:rFonts w:asciiTheme="majorHAnsi" w:hAnsiTheme="majorHAnsi" w:cstheme="majorHAnsi"/>
          <w:sz w:val="20"/>
          <w:szCs w:val="20"/>
        </w:rPr>
      </w:pPr>
    </w:p>
    <w:p w:rsidR="002A3426" w:rsidRDefault="002A3426">
      <w:pPr>
        <w:rPr>
          <w:rFonts w:asciiTheme="majorHAnsi" w:hAnsiTheme="majorHAnsi" w:cstheme="majorHAnsi"/>
          <w:sz w:val="20"/>
          <w:szCs w:val="20"/>
        </w:rPr>
      </w:pPr>
    </w:p>
    <w:p w:rsidR="002A3426" w:rsidRDefault="00F56EEC">
      <w:pPr>
        <w:rPr>
          <w:rFonts w:asciiTheme="majorHAnsi" w:hAnsiTheme="majorHAnsi" w:cstheme="majorHAnsi"/>
          <w:sz w:val="20"/>
          <w:szCs w:val="20"/>
        </w:rPr>
      </w:pPr>
      <w:r>
        <w:rPr>
          <w:rFonts w:asciiTheme="majorHAnsi" w:hAnsiTheme="majorHAnsi" w:cstheme="majorHAnsi"/>
          <w:noProof/>
          <w:sz w:val="20"/>
          <w:szCs w:val="20"/>
          <w:lang w:eastAsia="en-AU"/>
        </w:rPr>
        <w:pict>
          <v:shape id="_x0000_s1086" type="#_x0000_t202" style="position:absolute;margin-left:3.1pt;margin-top:-.3pt;width:52.45pt;height:100.6pt;z-index:251702272" filled="f" stroked="f">
            <v:textbox style="layout-flow:vertical;mso-layout-flow-alt:bottom-to-top;mso-next-textbox:#_x0000_s1086">
              <w:txbxContent>
                <w:p w:rsidR="002A3426" w:rsidRDefault="00A73CAC">
                  <w:pPr>
                    <w:jc w:val="center"/>
                    <w:rPr>
                      <w:rFonts w:ascii="Arial Black" w:hAnsi="Arial Black" w:cstheme="minorHAnsi"/>
                    </w:rPr>
                  </w:pPr>
                  <w:r>
                    <w:rPr>
                      <w:rFonts w:ascii="Arial Black" w:hAnsi="Arial Black" w:cstheme="minorHAnsi"/>
                    </w:rPr>
                    <w:t>FEDERAL</w:t>
                  </w:r>
                </w:p>
              </w:txbxContent>
            </v:textbox>
          </v:shape>
        </w:pict>
      </w:r>
      <w:r>
        <w:rPr>
          <w:rFonts w:asciiTheme="majorHAnsi" w:hAnsiTheme="majorHAnsi" w:cstheme="majorHAnsi"/>
          <w:noProof/>
          <w:sz w:val="20"/>
          <w:szCs w:val="20"/>
          <w:lang w:eastAsia="en-AU"/>
        </w:rPr>
        <w:pict>
          <v:roundrect id="MELogo" o:spid="_x0000_s1085" style="position:absolute;margin-left:-19.05pt;margin-top:9.9pt;width:796.05pt;height:83.45pt;z-index:251655165" arcsize="10923f" strokecolor="#a5a5a5 [2092]" strokeweight="1.5pt">
            <v:stroke dashstyle="dash"/>
          </v:roundrect>
        </w:pict>
      </w:r>
    </w:p>
    <w:p w:rsidR="002A3426" w:rsidRDefault="00F56EEC">
      <w:pPr>
        <w:rPr>
          <w:rFonts w:asciiTheme="majorHAnsi" w:hAnsiTheme="majorHAnsi" w:cstheme="majorHAnsi"/>
          <w:sz w:val="20"/>
          <w:szCs w:val="20"/>
        </w:rPr>
      </w:pPr>
      <w:r>
        <w:rPr>
          <w:rFonts w:asciiTheme="majorHAnsi" w:hAnsiTheme="majorHAnsi" w:cstheme="majorHAnsi"/>
          <w:noProof/>
          <w:sz w:val="20"/>
          <w:szCs w:val="20"/>
          <w:lang w:eastAsia="en-AU"/>
        </w:rPr>
        <w:pict>
          <v:rect id="_x0000_s1070" style="position:absolute;margin-left:72.05pt;margin-top:4.5pt;width:682.55pt;height:19.25pt;z-index:251691008">
            <v:textbox style="mso-next-textbox:#_x0000_s1070">
              <w:txbxContent>
                <w:p w:rsidR="002A3426" w:rsidRDefault="00A73CAC">
                  <w:pPr>
                    <w:jc w:val="center"/>
                    <w:rPr>
                      <w:rFonts w:asciiTheme="majorHAnsi" w:hAnsiTheme="majorHAnsi" w:cstheme="majorHAnsi"/>
                      <w:sz w:val="22"/>
                      <w:szCs w:val="22"/>
                    </w:rPr>
                  </w:pPr>
                  <w:r>
                    <w:rPr>
                      <w:rFonts w:asciiTheme="majorHAnsi" w:hAnsiTheme="majorHAnsi" w:cstheme="majorHAnsi"/>
                      <w:sz w:val="22"/>
                      <w:szCs w:val="22"/>
                    </w:rPr>
                    <w:t>Australian Consumer Law (6)</w:t>
                  </w:r>
                </w:p>
              </w:txbxContent>
            </v:textbox>
          </v:rect>
        </w:pict>
      </w:r>
    </w:p>
    <w:p w:rsidR="002A3426" w:rsidRDefault="002A3426">
      <w:pPr>
        <w:rPr>
          <w:rFonts w:asciiTheme="majorHAnsi" w:hAnsiTheme="majorHAnsi" w:cstheme="majorHAnsi"/>
          <w:sz w:val="20"/>
          <w:szCs w:val="20"/>
        </w:rPr>
      </w:pPr>
    </w:p>
    <w:p w:rsidR="002A3426" w:rsidRDefault="00F56EEC">
      <w:pPr>
        <w:rPr>
          <w:rFonts w:asciiTheme="majorHAnsi" w:hAnsiTheme="majorHAnsi" w:cstheme="majorHAnsi"/>
          <w:sz w:val="20"/>
          <w:szCs w:val="20"/>
        </w:rPr>
      </w:pPr>
      <w:r>
        <w:rPr>
          <w:rFonts w:asciiTheme="majorHAnsi" w:hAnsiTheme="majorHAnsi" w:cstheme="majorHAnsi"/>
          <w:noProof/>
          <w:sz w:val="20"/>
          <w:szCs w:val="20"/>
          <w:lang w:eastAsia="en-AU"/>
        </w:rPr>
        <w:pict>
          <v:rect id="_x0000_s1088" style="position:absolute;margin-left:71.6pt;margin-top:5.55pt;width:682.65pt;height:21.45pt;z-index:251704320">
            <v:textbox style="mso-next-textbox:#_x0000_s1088">
              <w:txbxContent>
                <w:p w:rsidR="002A3426" w:rsidRDefault="00A73CAC">
                  <w:pPr>
                    <w:jc w:val="center"/>
                    <w:rPr>
                      <w:rFonts w:asciiTheme="majorHAnsi" w:hAnsiTheme="majorHAnsi" w:cstheme="majorHAnsi"/>
                      <w:sz w:val="22"/>
                      <w:szCs w:val="22"/>
                    </w:rPr>
                  </w:pPr>
                  <w:r>
                    <w:rPr>
                      <w:rFonts w:asciiTheme="majorHAnsi" w:hAnsiTheme="majorHAnsi" w:cstheme="majorHAnsi"/>
                      <w:sz w:val="22"/>
                      <w:szCs w:val="22"/>
                    </w:rPr>
                    <w:t>Competition and Consumer Regulations (7)</w:t>
                  </w:r>
                </w:p>
              </w:txbxContent>
            </v:textbox>
          </v:rect>
        </w:pict>
      </w:r>
    </w:p>
    <w:p w:rsidR="002A3426" w:rsidRDefault="002A3426">
      <w:pPr>
        <w:rPr>
          <w:rFonts w:asciiTheme="majorHAnsi" w:hAnsiTheme="majorHAnsi" w:cstheme="majorHAnsi"/>
          <w:sz w:val="20"/>
          <w:szCs w:val="20"/>
        </w:rPr>
      </w:pPr>
    </w:p>
    <w:p w:rsidR="002A3426" w:rsidRDefault="00F56EEC">
      <w:pPr>
        <w:rPr>
          <w:rFonts w:asciiTheme="majorHAnsi" w:hAnsiTheme="majorHAnsi" w:cstheme="majorHAnsi"/>
          <w:sz w:val="20"/>
          <w:szCs w:val="20"/>
        </w:rPr>
      </w:pPr>
      <w:r>
        <w:rPr>
          <w:noProof/>
        </w:rPr>
        <w:pict>
          <v:shape id="Text Box 2" o:spid="_x0000_s1114" type="#_x0000_t202" style="position:absolute;margin-left:70.6pt;margin-top:7.85pt;width:684.1pt;height:21.95pt;z-index:25172070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15DKQIAAE8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LF9JoS&#10;wzSK9CSGQN7CQIrIT299iWGPFgPDgMeoc6rV2wfg3zwxsOmY2Yk756DvBGswv2m8mV1cHXF8BKn7&#10;j9DgM2wfIAENrdORPKSDIDrq9HzWJqbC8bC4WuTLK3Rx9E1n+WxRJPUyVp6uW+fDewGaxE1FHYqf&#10;4NnhwYeYDitPIfE1D0o2W6lUMtyu3ihHDgwbZZu+VMGLMGVIX9HlvJiPDPwVIk/fnyC0DNjxSuqK&#10;3pyDWBl5e2ea1I+BSTXuMWVljkRG7kYWw1APo2bLk0A1NM9IrYOxw3EicdOB+0FJj91dUf99z5yg&#10;RH0wKM9yOpvFcUjGbH6NXBJ36akvPcxwhKpooGTcbkIaoUScvUMZtzIRHPUeMznmjF2beD9OWByL&#10;SztF/foPrH8C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fPdeQykCAABPBAAADgAAAAAAAAAAAAAAAAAuAgAAZHJzL2Uyb0Rv&#10;Yy54bWxQSwECLQAUAAYACAAAACEASFsnctsAAAAHAQAADwAAAAAAAAAAAAAAAACDBAAAZHJzL2Rv&#10;d25yZXYueG1sUEsFBgAAAAAEAAQA8wAAAIsFAAAAAA==&#10;">
            <v:textbox>
              <w:txbxContent>
                <w:p w:rsidR="005A2C10" w:rsidRPr="005A2C10" w:rsidRDefault="005A2C10" w:rsidP="005A2C10">
                  <w:pPr>
                    <w:jc w:val="center"/>
                    <w:rPr>
                      <w:rFonts w:asciiTheme="majorHAnsi" w:hAnsiTheme="majorHAnsi" w:cstheme="majorHAnsi"/>
                      <w:sz w:val="22"/>
                      <w:szCs w:val="22"/>
                    </w:rPr>
                  </w:pPr>
                  <w:r w:rsidRPr="005A2C10">
                    <w:rPr>
                      <w:rFonts w:asciiTheme="majorHAnsi" w:hAnsiTheme="majorHAnsi" w:cstheme="majorHAnsi"/>
                      <w:sz w:val="22"/>
                      <w:szCs w:val="22"/>
                    </w:rPr>
                    <w:t>Competition and Consumer (Industry Code – Electricity Retail) Regulations 2019</w:t>
                  </w:r>
                  <w:r>
                    <w:rPr>
                      <w:rFonts w:asciiTheme="majorHAnsi" w:hAnsiTheme="majorHAnsi" w:cstheme="majorHAnsi"/>
                      <w:sz w:val="22"/>
                      <w:szCs w:val="22"/>
                    </w:rPr>
                    <w:t xml:space="preserve"> (8)</w:t>
                  </w:r>
                </w:p>
                <w:p w:rsidR="005A2C10" w:rsidRDefault="005A2C10"/>
              </w:txbxContent>
            </v:textbox>
            <w10:wrap type="square"/>
          </v:shape>
        </w:pict>
      </w:r>
    </w:p>
    <w:p w:rsidR="002A3426" w:rsidRDefault="002A3426">
      <w:pPr>
        <w:rPr>
          <w:rFonts w:asciiTheme="majorHAnsi" w:hAnsiTheme="majorHAnsi" w:cstheme="majorHAnsi"/>
          <w:sz w:val="20"/>
          <w:szCs w:val="20"/>
        </w:rPr>
      </w:pPr>
    </w:p>
    <w:p w:rsidR="002A3426" w:rsidRDefault="00F56EEC">
      <w:pPr>
        <w:rPr>
          <w:rFonts w:asciiTheme="majorHAnsi" w:hAnsiTheme="majorHAnsi" w:cstheme="majorHAnsi"/>
          <w:sz w:val="20"/>
          <w:szCs w:val="20"/>
        </w:rPr>
      </w:pPr>
      <w:r>
        <w:rPr>
          <w:rFonts w:asciiTheme="majorHAnsi" w:hAnsiTheme="majorHAnsi" w:cstheme="majorHAnsi"/>
          <w:noProof/>
          <w:sz w:val="20"/>
          <w:szCs w:val="20"/>
          <w:lang w:eastAsia="en-AU"/>
        </w:rPr>
        <w:pict>
          <v:roundrect id="_x0000_s1083" style="position:absolute;margin-left:-19.05pt;margin-top:22.3pt;width:796.05pt;height:155.65pt;z-index:251656190" arcsize="10923f" strokecolor="#a5a5a5 [2092]" strokeweight="1.5pt">
            <v:stroke dashstyle="dash"/>
          </v:roundrect>
        </w:pict>
      </w:r>
      <w:r>
        <w:rPr>
          <w:rFonts w:asciiTheme="majorHAnsi" w:hAnsiTheme="majorHAnsi" w:cstheme="majorHAnsi"/>
          <w:noProof/>
          <w:sz w:val="20"/>
          <w:szCs w:val="20"/>
          <w:lang w:eastAsia="en-AU"/>
        </w:rPr>
        <w:pict>
          <v:rect id="_x0000_s1087" style="position:absolute;margin-left:147.95pt;margin-top:128.25pt;width:231.55pt;height:33.95pt;z-index:251703296">
            <v:textbox style="mso-next-textbox:#_x0000_s1087">
              <w:txbxContent>
                <w:p w:rsidR="002A3426" w:rsidRDefault="00A73CAC">
                  <w:pPr>
                    <w:rPr>
                      <w:rFonts w:asciiTheme="majorHAnsi" w:hAnsiTheme="majorHAnsi" w:cstheme="majorHAnsi"/>
                      <w:sz w:val="22"/>
                      <w:szCs w:val="22"/>
                    </w:rPr>
                  </w:pPr>
                  <w:r>
                    <w:rPr>
                      <w:rFonts w:asciiTheme="majorHAnsi" w:hAnsiTheme="majorHAnsi" w:cstheme="majorHAnsi"/>
                      <w:sz w:val="22"/>
                      <w:szCs w:val="22"/>
                    </w:rPr>
                    <w:t>Jurisdictional Interpretation Acts (1</w:t>
                  </w:r>
                  <w:r w:rsidR="005A2C10">
                    <w:rPr>
                      <w:rFonts w:asciiTheme="majorHAnsi" w:hAnsiTheme="majorHAnsi" w:cstheme="majorHAnsi"/>
                      <w:sz w:val="22"/>
                      <w:szCs w:val="22"/>
                    </w:rPr>
                    <w:t>4</w:t>
                  </w:r>
                  <w:r>
                    <w:rPr>
                      <w:rFonts w:asciiTheme="majorHAnsi" w:hAnsiTheme="majorHAnsi" w:cstheme="majorHAnsi"/>
                      <w:sz w:val="22"/>
                      <w:szCs w:val="22"/>
                    </w:rPr>
                    <w:t>)</w:t>
                  </w:r>
                </w:p>
              </w:txbxContent>
            </v:textbox>
          </v:rect>
        </w:pict>
      </w:r>
      <w:r>
        <w:rPr>
          <w:rFonts w:asciiTheme="majorHAnsi" w:hAnsiTheme="majorHAnsi" w:cstheme="majorHAnsi"/>
          <w:noProof/>
          <w:sz w:val="20"/>
          <w:szCs w:val="20"/>
          <w:lang w:eastAsia="en-AU"/>
        </w:rPr>
        <w:pict>
          <v:rect id="_x0000_s1099" style="position:absolute;margin-left:389.55pt;margin-top:128.25pt;width:226.4pt;height:33.95pt;z-index:251711488">
            <v:textbox style="mso-next-textbox:#_x0000_s1099">
              <w:txbxContent>
                <w:p w:rsidR="002A3426" w:rsidRDefault="00A73CAC">
                  <w:pPr>
                    <w:rPr>
                      <w:rFonts w:asciiTheme="majorHAnsi" w:hAnsiTheme="majorHAnsi" w:cstheme="majorHAnsi"/>
                      <w:sz w:val="22"/>
                      <w:szCs w:val="22"/>
                    </w:rPr>
                  </w:pPr>
                  <w:r>
                    <w:rPr>
                      <w:rFonts w:asciiTheme="majorHAnsi" w:hAnsiTheme="majorHAnsi" w:cstheme="majorHAnsi"/>
                      <w:sz w:val="22"/>
                      <w:szCs w:val="22"/>
                    </w:rPr>
                    <w:t>Subordinate jurisdictional instruments (e.g. codes, guidelines, etc.)</w:t>
                  </w:r>
                </w:p>
              </w:txbxContent>
            </v:textbox>
          </v:rect>
        </w:pict>
      </w:r>
      <w:r>
        <w:rPr>
          <w:rFonts w:asciiTheme="majorHAnsi" w:hAnsiTheme="majorHAnsi" w:cstheme="majorHAnsi"/>
          <w:noProof/>
          <w:sz w:val="20"/>
          <w:szCs w:val="20"/>
          <w:lang w:eastAsia="en-AU"/>
        </w:rPr>
        <w:pict>
          <v:rect id="_x0000_s1071" style="position:absolute;margin-left:389.45pt;margin-top:83.8pt;width:226.5pt;height:38.95pt;z-index:251692032">
            <v:textbox style="mso-next-textbox:#_x0000_s1071">
              <w:txbxContent>
                <w:p w:rsidR="002A3426" w:rsidRDefault="00A73CAC">
                  <w:pPr>
                    <w:rPr>
                      <w:rFonts w:asciiTheme="majorHAnsi" w:hAnsiTheme="majorHAnsi" w:cstheme="majorHAnsi"/>
                      <w:sz w:val="22"/>
                      <w:szCs w:val="22"/>
                    </w:rPr>
                  </w:pPr>
                  <w:r>
                    <w:rPr>
                      <w:rFonts w:asciiTheme="majorHAnsi" w:hAnsiTheme="majorHAnsi" w:cstheme="majorHAnsi"/>
                      <w:sz w:val="22"/>
                      <w:szCs w:val="22"/>
                    </w:rPr>
                    <w:t>Jurisdictional gas legislation (1</w:t>
                  </w:r>
                  <w:r w:rsidR="005A2C10">
                    <w:rPr>
                      <w:rFonts w:asciiTheme="majorHAnsi" w:hAnsiTheme="majorHAnsi" w:cstheme="majorHAnsi"/>
                      <w:sz w:val="22"/>
                      <w:szCs w:val="22"/>
                    </w:rPr>
                    <w:t>3</w:t>
                  </w:r>
                  <w:r>
                    <w:rPr>
                      <w:rFonts w:asciiTheme="majorHAnsi" w:hAnsiTheme="majorHAnsi" w:cstheme="majorHAnsi"/>
                      <w:sz w:val="22"/>
                      <w:szCs w:val="22"/>
                    </w:rPr>
                    <w:t>)</w:t>
                  </w:r>
                </w:p>
              </w:txbxContent>
            </v:textbox>
          </v:rect>
        </w:pict>
      </w:r>
      <w:r>
        <w:rPr>
          <w:rFonts w:asciiTheme="majorHAnsi" w:hAnsiTheme="majorHAnsi" w:cstheme="majorHAnsi"/>
          <w:noProof/>
          <w:sz w:val="20"/>
          <w:szCs w:val="20"/>
          <w:lang w:eastAsia="en-AU"/>
        </w:rPr>
        <w:pict>
          <v:rect id="_x0000_s1041" style="position:absolute;margin-left:147.95pt;margin-top:83.8pt;width:231.55pt;height:38.95pt;z-index:251670528">
            <v:textbox style="mso-next-textbox:#_x0000_s1041">
              <w:txbxContent>
                <w:p w:rsidR="002A3426" w:rsidRDefault="00A73CAC">
                  <w:pPr>
                    <w:rPr>
                      <w:rFonts w:asciiTheme="majorHAnsi" w:hAnsiTheme="majorHAnsi" w:cstheme="majorHAnsi"/>
                      <w:sz w:val="22"/>
                      <w:szCs w:val="22"/>
                    </w:rPr>
                  </w:pPr>
                  <w:r>
                    <w:rPr>
                      <w:rFonts w:asciiTheme="majorHAnsi" w:hAnsiTheme="majorHAnsi" w:cstheme="majorHAnsi"/>
                      <w:sz w:val="22"/>
                      <w:szCs w:val="22"/>
                    </w:rPr>
                    <w:t>Key jurisdictional electricity legislation (1</w:t>
                  </w:r>
                  <w:r w:rsidR="005A2C10">
                    <w:rPr>
                      <w:rFonts w:asciiTheme="majorHAnsi" w:hAnsiTheme="majorHAnsi" w:cstheme="majorHAnsi"/>
                      <w:sz w:val="22"/>
                      <w:szCs w:val="22"/>
                    </w:rPr>
                    <w:t>2</w:t>
                  </w:r>
                  <w:r>
                    <w:rPr>
                      <w:rFonts w:asciiTheme="majorHAnsi" w:hAnsiTheme="majorHAnsi" w:cstheme="majorHAnsi"/>
                      <w:sz w:val="22"/>
                      <w:szCs w:val="22"/>
                    </w:rPr>
                    <w:t>)</w:t>
                  </w:r>
                </w:p>
              </w:txbxContent>
            </v:textbox>
          </v:rect>
        </w:pict>
      </w:r>
      <w:r>
        <w:rPr>
          <w:rFonts w:asciiTheme="majorHAnsi" w:hAnsiTheme="majorHAnsi" w:cstheme="majorHAnsi"/>
          <w:noProof/>
          <w:sz w:val="20"/>
          <w:szCs w:val="20"/>
          <w:lang w:eastAsia="en-AU"/>
        </w:rPr>
        <w:pict>
          <v:shape id="_x0000_s1093" type="#_x0000_t202" style="position:absolute;margin-left:235.7pt;margin-top:183.05pt;width:301.55pt;height:40pt;z-index:251709440" filled="f" stroked="f">
            <v:textbox style="mso-next-textbox:#_x0000_s1093">
              <w:txbxContent>
                <w:p w:rsidR="002A3426" w:rsidRDefault="00A73CAC">
                  <w:pPr>
                    <w:jc w:val="center"/>
                    <w:rPr>
                      <w:rFonts w:asciiTheme="majorHAnsi" w:hAnsiTheme="majorHAnsi" w:cstheme="majorHAnsi"/>
                      <w:sz w:val="18"/>
                      <w:szCs w:val="18"/>
                    </w:rPr>
                  </w:pPr>
                  <w:r>
                    <w:rPr>
                      <w:rFonts w:asciiTheme="majorHAnsi" w:hAnsiTheme="majorHAnsi" w:cstheme="majorHAnsi"/>
                      <w:b/>
                      <w:noProof/>
                      <w:sz w:val="18"/>
                      <w:szCs w:val="18"/>
                      <w:lang w:eastAsia="en-AU"/>
                    </w:rPr>
                    <w:t>*</w:t>
                  </w:r>
                  <w:r>
                    <w:rPr>
                      <w:rFonts w:asciiTheme="majorHAnsi" w:hAnsiTheme="majorHAnsi" w:cstheme="majorHAnsi"/>
                      <w:sz w:val="18"/>
                      <w:szCs w:val="18"/>
                    </w:rPr>
                    <w:t xml:space="preserve"> </w:t>
                  </w:r>
                  <w:proofErr w:type="gramStart"/>
                  <w:r>
                    <w:rPr>
                      <w:rFonts w:asciiTheme="majorHAnsi" w:hAnsiTheme="majorHAnsi" w:cstheme="majorHAnsi"/>
                      <w:sz w:val="18"/>
                      <w:szCs w:val="18"/>
                    </w:rPr>
                    <w:t>savings</w:t>
                  </w:r>
                  <w:proofErr w:type="gramEnd"/>
                  <w:r>
                    <w:rPr>
                      <w:rFonts w:asciiTheme="majorHAnsi" w:hAnsiTheme="majorHAnsi" w:cstheme="majorHAnsi"/>
                      <w:sz w:val="18"/>
                      <w:szCs w:val="18"/>
                    </w:rPr>
                    <w:t xml:space="preserve"> and transitional provisions apply</w:t>
                  </w:r>
                </w:p>
              </w:txbxContent>
            </v:textbox>
          </v:shape>
        </w:pict>
      </w:r>
      <w:r>
        <w:rPr>
          <w:rFonts w:asciiTheme="majorHAnsi" w:hAnsiTheme="majorHAnsi" w:cstheme="majorHAnsi"/>
          <w:noProof/>
          <w:sz w:val="20"/>
          <w:szCs w:val="20"/>
          <w:lang w:eastAsia="en-AU"/>
        </w:rPr>
        <w:pict>
          <v:shape id="_x0000_s1084" type="#_x0000_t202" style="position:absolute;margin-left:3.1pt;margin-top:35.55pt;width:52.45pt;height:136.6pt;z-index:251700224" stroked="f">
            <v:textbox style="layout-flow:vertical;mso-layout-flow-alt:bottom-to-top;mso-next-textbox:#_x0000_s1084">
              <w:txbxContent>
                <w:p w:rsidR="002A3426" w:rsidRDefault="00A73CAC">
                  <w:pPr>
                    <w:jc w:val="center"/>
                    <w:rPr>
                      <w:rFonts w:ascii="Arial Black" w:hAnsi="Arial Black" w:cstheme="minorHAnsi"/>
                    </w:rPr>
                  </w:pPr>
                  <w:r>
                    <w:rPr>
                      <w:rFonts w:ascii="Arial Black" w:hAnsi="Arial Black" w:cstheme="minorHAnsi"/>
                    </w:rPr>
                    <w:t xml:space="preserve">JURISDICTIONAL </w:t>
                  </w:r>
                </w:p>
              </w:txbxContent>
            </v:textbox>
          </v:shape>
        </w:pict>
      </w:r>
      <w:r>
        <w:rPr>
          <w:rFonts w:asciiTheme="majorHAnsi" w:hAnsiTheme="majorHAnsi" w:cstheme="majorHAnsi"/>
          <w:noProof/>
          <w:sz w:val="20"/>
          <w:szCs w:val="20"/>
          <w:lang w:eastAsia="en-AU"/>
        </w:rPr>
        <w:pict>
          <v:rect id="_x0000_s1073" style="position:absolute;margin-left:543.85pt;margin-top:35.55pt;width:210.75pt;height:41.15pt;z-index:251694080">
            <v:textbox style="mso-next-textbox:#_x0000_s1073">
              <w:txbxContent>
                <w:p w:rsidR="002A3426" w:rsidRDefault="00A73CAC">
                  <w:pPr>
                    <w:rPr>
                      <w:rFonts w:asciiTheme="majorHAnsi" w:hAnsiTheme="majorHAnsi" w:cstheme="majorHAnsi"/>
                      <w:i/>
                      <w:sz w:val="22"/>
                      <w:szCs w:val="22"/>
                    </w:rPr>
                  </w:pPr>
                  <w:r>
                    <w:rPr>
                      <w:rFonts w:asciiTheme="majorHAnsi" w:hAnsiTheme="majorHAnsi" w:cstheme="majorHAnsi"/>
                      <w:sz w:val="22"/>
                      <w:szCs w:val="22"/>
                    </w:rPr>
                    <w:t>Jurisdictional Application Acts and Regulations (1</w:t>
                  </w:r>
                  <w:r w:rsidR="005A2C10">
                    <w:rPr>
                      <w:rFonts w:asciiTheme="majorHAnsi" w:hAnsiTheme="majorHAnsi" w:cstheme="majorHAnsi"/>
                      <w:sz w:val="22"/>
                      <w:szCs w:val="22"/>
                    </w:rPr>
                    <w:t>1</w:t>
                  </w:r>
                  <w:r>
                    <w:rPr>
                      <w:rFonts w:asciiTheme="majorHAnsi" w:hAnsiTheme="majorHAnsi" w:cstheme="majorHAnsi"/>
                      <w:sz w:val="22"/>
                      <w:szCs w:val="22"/>
                    </w:rPr>
                    <w:t xml:space="preserve">) </w:t>
                  </w:r>
                  <w:r>
                    <w:rPr>
                      <w:rFonts w:asciiTheme="majorHAnsi" w:hAnsiTheme="majorHAnsi" w:cstheme="majorHAnsi"/>
                      <w:b/>
                      <w:sz w:val="32"/>
                      <w:szCs w:val="32"/>
                    </w:rPr>
                    <w:t>*</w:t>
                  </w:r>
                </w:p>
              </w:txbxContent>
            </v:textbox>
          </v:rect>
        </w:pict>
      </w:r>
      <w:r>
        <w:rPr>
          <w:rFonts w:asciiTheme="majorHAnsi" w:hAnsiTheme="majorHAnsi" w:cstheme="majorHAnsi"/>
          <w:noProof/>
          <w:sz w:val="20"/>
          <w:szCs w:val="20"/>
          <w:lang w:eastAsia="en-AU"/>
        </w:rPr>
        <w:pict>
          <v:rect id="_x0000_s1032" style="position:absolute;margin-left:301.7pt;margin-top:35.55pt;width:221.65pt;height:41.15pt;z-index:251661312">
            <v:textbox style="mso-next-textbox:#_x0000_s1032">
              <w:txbxContent>
                <w:p w:rsidR="002A3426" w:rsidRDefault="00A73CAC">
                  <w:pPr>
                    <w:rPr>
                      <w:rFonts w:asciiTheme="majorHAnsi" w:hAnsiTheme="majorHAnsi" w:cstheme="majorHAnsi"/>
                      <w:i/>
                      <w:sz w:val="22"/>
                      <w:szCs w:val="22"/>
                    </w:rPr>
                  </w:pPr>
                  <w:r>
                    <w:rPr>
                      <w:rFonts w:asciiTheme="majorHAnsi" w:hAnsiTheme="majorHAnsi" w:cstheme="majorHAnsi"/>
                      <w:sz w:val="22"/>
                      <w:szCs w:val="22"/>
                    </w:rPr>
                    <w:t>Jurisdictional Application Acts and Regulations (</w:t>
                  </w:r>
                  <w:r w:rsidR="005A2C10">
                    <w:rPr>
                      <w:rFonts w:asciiTheme="majorHAnsi" w:hAnsiTheme="majorHAnsi" w:cstheme="majorHAnsi"/>
                      <w:sz w:val="22"/>
                      <w:szCs w:val="22"/>
                    </w:rPr>
                    <w:t>10</w:t>
                  </w:r>
                  <w:r>
                    <w:rPr>
                      <w:rFonts w:asciiTheme="majorHAnsi" w:hAnsiTheme="majorHAnsi" w:cstheme="majorHAnsi"/>
                      <w:sz w:val="22"/>
                      <w:szCs w:val="22"/>
                    </w:rPr>
                    <w:t xml:space="preserve">) </w:t>
                  </w:r>
                  <w:r>
                    <w:rPr>
                      <w:rFonts w:asciiTheme="majorHAnsi" w:hAnsiTheme="majorHAnsi" w:cstheme="majorHAnsi"/>
                      <w:b/>
                      <w:sz w:val="32"/>
                      <w:szCs w:val="32"/>
                    </w:rPr>
                    <w:t>*</w:t>
                  </w:r>
                </w:p>
              </w:txbxContent>
            </v:textbox>
          </v:rect>
        </w:pict>
      </w:r>
      <w:r>
        <w:rPr>
          <w:rFonts w:asciiTheme="majorHAnsi" w:hAnsiTheme="majorHAnsi" w:cstheme="majorHAnsi"/>
          <w:noProof/>
          <w:sz w:val="20"/>
          <w:szCs w:val="20"/>
          <w:lang w:eastAsia="en-AU"/>
        </w:rPr>
        <w:pict>
          <v:rect id="_x0000_s1060" style="position:absolute;margin-left:71.6pt;margin-top:35.55pt;width:212.65pt;height:41.15pt;z-index:251684864">
            <v:textbox style="mso-next-textbox:#_x0000_s1060">
              <w:txbxContent>
                <w:p w:rsidR="002A3426" w:rsidRDefault="00A73CAC">
                  <w:pPr>
                    <w:rPr>
                      <w:rFonts w:asciiTheme="majorHAnsi" w:hAnsiTheme="majorHAnsi" w:cstheme="majorHAnsi"/>
                      <w:i/>
                      <w:sz w:val="22"/>
                      <w:szCs w:val="22"/>
                    </w:rPr>
                  </w:pPr>
                  <w:r>
                    <w:rPr>
                      <w:rFonts w:asciiTheme="majorHAnsi" w:hAnsiTheme="majorHAnsi" w:cstheme="majorHAnsi"/>
                      <w:sz w:val="22"/>
                      <w:szCs w:val="22"/>
                    </w:rPr>
                    <w:t>Jurisdictional Application Acts and Regulations (</w:t>
                  </w:r>
                  <w:r w:rsidR="005A2C10">
                    <w:rPr>
                      <w:rFonts w:asciiTheme="majorHAnsi" w:hAnsiTheme="majorHAnsi" w:cstheme="majorHAnsi"/>
                      <w:sz w:val="22"/>
                      <w:szCs w:val="22"/>
                    </w:rPr>
                    <w:t>9</w:t>
                  </w:r>
                  <w:r>
                    <w:rPr>
                      <w:rFonts w:asciiTheme="majorHAnsi" w:hAnsiTheme="majorHAnsi" w:cstheme="majorHAnsi"/>
                      <w:sz w:val="22"/>
                      <w:szCs w:val="22"/>
                    </w:rPr>
                    <w:t xml:space="preserve">) </w:t>
                  </w:r>
                  <w:r>
                    <w:rPr>
                      <w:rFonts w:asciiTheme="majorHAnsi" w:hAnsiTheme="majorHAnsi" w:cstheme="majorHAnsi"/>
                      <w:b/>
                      <w:sz w:val="32"/>
                      <w:szCs w:val="32"/>
                    </w:rPr>
                    <w:t>*</w:t>
                  </w:r>
                </w:p>
              </w:txbxContent>
            </v:textbox>
          </v:rect>
        </w:pict>
      </w:r>
      <w:r w:rsidR="00A73CAC">
        <w:rPr>
          <w:rFonts w:asciiTheme="majorHAnsi" w:hAnsiTheme="majorHAnsi" w:cstheme="majorHAnsi"/>
          <w:sz w:val="20"/>
          <w:szCs w:val="20"/>
        </w:rPr>
        <w:t>*</w:t>
      </w:r>
      <w:r w:rsidR="00A73CAC">
        <w:rPr>
          <w:rFonts w:asciiTheme="majorHAnsi" w:hAnsiTheme="majorHAnsi" w:cstheme="majorHAnsi"/>
          <w:sz w:val="20"/>
          <w:szCs w:val="20"/>
        </w:rPr>
        <w:br w:type="page"/>
      </w:r>
    </w:p>
    <w:p w:rsidR="002A3426" w:rsidRDefault="002A3426">
      <w:pPr>
        <w:pStyle w:val="MELegal1"/>
        <w:keepNext/>
        <w:numPr>
          <w:ilvl w:val="0"/>
          <w:numId w:val="0"/>
        </w:numPr>
        <w:ind w:left="680"/>
        <w:rPr>
          <w:rFonts w:asciiTheme="majorHAnsi" w:hAnsiTheme="majorHAnsi" w:cstheme="majorHAnsi"/>
          <w:sz w:val="20"/>
          <w:szCs w:val="20"/>
        </w:rPr>
        <w:sectPr w:rsidR="002A3426">
          <w:headerReference w:type="default" r:id="rId9"/>
          <w:footerReference w:type="even" r:id="rId10"/>
          <w:footerReference w:type="default" r:id="rId11"/>
          <w:headerReference w:type="first" r:id="rId12"/>
          <w:footerReference w:type="first" r:id="rId13"/>
          <w:pgSz w:w="16838" w:h="11906" w:orient="landscape"/>
          <w:pgMar w:top="1277" w:right="851" w:bottom="851" w:left="851" w:header="567" w:footer="567" w:gutter="0"/>
          <w:cols w:space="708"/>
          <w:titlePg/>
          <w:docGrid w:linePitch="360"/>
        </w:sectPr>
      </w:pPr>
    </w:p>
    <w:p w:rsidR="002A3426" w:rsidRDefault="00A73CAC">
      <w:pPr>
        <w:pStyle w:val="MELegal1"/>
        <w:keepNext/>
        <w:spacing w:before="120" w:after="120"/>
        <w:rPr>
          <w:rFonts w:asciiTheme="majorHAnsi" w:hAnsiTheme="majorHAnsi" w:cstheme="majorHAnsi"/>
          <w:b/>
          <w:sz w:val="20"/>
          <w:szCs w:val="20"/>
        </w:rPr>
      </w:pPr>
      <w:r>
        <w:rPr>
          <w:rFonts w:asciiTheme="majorHAnsi" w:hAnsiTheme="majorHAnsi" w:cstheme="majorHAnsi"/>
          <w:b/>
          <w:sz w:val="20"/>
          <w:szCs w:val="20"/>
        </w:rPr>
        <w:lastRenderedPageBreak/>
        <w:t>NECF-related AER Guidelines made under National Electricity Rules</w:t>
      </w:r>
    </w:p>
    <w:p w:rsidR="002A3426" w:rsidRDefault="00A73CAC">
      <w:pPr>
        <w:pStyle w:val="MELegal3"/>
        <w:rPr>
          <w:rFonts w:asciiTheme="majorHAnsi" w:hAnsiTheme="majorHAnsi" w:cstheme="majorHAnsi"/>
          <w:sz w:val="20"/>
          <w:szCs w:val="20"/>
        </w:rPr>
      </w:pPr>
      <w:bookmarkStart w:id="1" w:name="_Ref359426646"/>
      <w:r>
        <w:rPr>
          <w:rFonts w:asciiTheme="majorHAnsi" w:hAnsiTheme="majorHAnsi" w:cstheme="majorHAnsi"/>
          <w:sz w:val="20"/>
          <w:szCs w:val="20"/>
        </w:rPr>
        <w:t>National electricity connection charge guideline (June 2012) (clause 5A.E.3, NER)</w:t>
      </w:r>
    </w:p>
    <w:p w:rsidR="002A3426" w:rsidRDefault="00A73CAC">
      <w:pPr>
        <w:pStyle w:val="MELegal1"/>
        <w:keepNext/>
        <w:spacing w:before="120" w:after="120"/>
        <w:rPr>
          <w:rFonts w:asciiTheme="majorHAnsi" w:hAnsiTheme="majorHAnsi" w:cstheme="majorHAnsi"/>
          <w:b/>
          <w:sz w:val="20"/>
          <w:szCs w:val="20"/>
        </w:rPr>
      </w:pPr>
      <w:r>
        <w:rPr>
          <w:rFonts w:asciiTheme="majorHAnsi" w:hAnsiTheme="majorHAnsi" w:cstheme="majorHAnsi"/>
          <w:b/>
          <w:sz w:val="20"/>
          <w:szCs w:val="20"/>
        </w:rPr>
        <w:t>AER Guidelines made under the National Energy Retail Law and National Energy Retail Rules</w:t>
      </w:r>
      <w:r>
        <w:rPr>
          <w:rStyle w:val="FootnoteReference"/>
          <w:rFonts w:asciiTheme="majorHAnsi" w:hAnsiTheme="majorHAnsi" w:cstheme="majorHAnsi"/>
          <w:b/>
          <w:sz w:val="20"/>
          <w:szCs w:val="20"/>
        </w:rPr>
        <w:footnoteReference w:id="1"/>
      </w:r>
    </w:p>
    <w:p w:rsidR="002A3426" w:rsidRDefault="00A73CAC">
      <w:pPr>
        <w:pStyle w:val="MELegal3"/>
        <w:rPr>
          <w:rFonts w:asciiTheme="majorHAnsi" w:hAnsiTheme="majorHAnsi" w:cstheme="majorHAnsi"/>
          <w:sz w:val="20"/>
          <w:szCs w:val="20"/>
        </w:rPr>
      </w:pPr>
      <w:r>
        <w:rPr>
          <w:rFonts w:asciiTheme="majorHAnsi" w:hAnsiTheme="majorHAnsi" w:cstheme="majorHAnsi"/>
          <w:sz w:val="20"/>
          <w:szCs w:val="20"/>
        </w:rPr>
        <w:t>Retailer Authorisation Guideline (December 2014) (section 117, NERL)</w:t>
      </w:r>
      <w:r w:rsidR="00295A56">
        <w:rPr>
          <w:rFonts w:asciiTheme="majorHAnsi" w:hAnsiTheme="majorHAnsi" w:cstheme="majorHAnsi"/>
          <w:sz w:val="20"/>
          <w:szCs w:val="20"/>
        </w:rPr>
        <w:t xml:space="preserve"> </w:t>
      </w:r>
    </w:p>
    <w:p w:rsidR="002A3426" w:rsidRDefault="00A73CAC">
      <w:pPr>
        <w:pStyle w:val="MELegal3"/>
        <w:rPr>
          <w:rFonts w:asciiTheme="majorHAnsi" w:hAnsiTheme="majorHAnsi" w:cstheme="majorHAnsi"/>
          <w:sz w:val="20"/>
          <w:szCs w:val="20"/>
        </w:rPr>
      </w:pPr>
      <w:r>
        <w:rPr>
          <w:rFonts w:asciiTheme="majorHAnsi" w:hAnsiTheme="majorHAnsi" w:cstheme="majorHAnsi"/>
          <w:sz w:val="20"/>
          <w:szCs w:val="20"/>
        </w:rPr>
        <w:t>Retail Exempt Selling Guideline</w:t>
      </w:r>
      <w:r>
        <w:rPr>
          <w:rStyle w:val="FootnoteReference"/>
          <w:rFonts w:asciiTheme="majorHAnsi" w:hAnsiTheme="majorHAnsi" w:cstheme="majorHAnsi"/>
          <w:sz w:val="20"/>
          <w:szCs w:val="20"/>
        </w:rPr>
        <w:footnoteReference w:id="2"/>
      </w:r>
      <w:r>
        <w:rPr>
          <w:rFonts w:asciiTheme="majorHAnsi" w:hAnsiTheme="majorHAnsi" w:cstheme="majorHAnsi"/>
          <w:sz w:val="20"/>
          <w:szCs w:val="20"/>
        </w:rPr>
        <w:t xml:space="preserve"> (</w:t>
      </w:r>
      <w:r w:rsidR="00562623">
        <w:rPr>
          <w:rFonts w:asciiTheme="majorHAnsi" w:hAnsiTheme="majorHAnsi" w:cstheme="majorHAnsi"/>
          <w:sz w:val="20"/>
          <w:szCs w:val="20"/>
        </w:rPr>
        <w:t xml:space="preserve">March </w:t>
      </w:r>
      <w:r w:rsidR="00295A56">
        <w:rPr>
          <w:rFonts w:asciiTheme="majorHAnsi" w:hAnsiTheme="majorHAnsi" w:cstheme="majorHAnsi"/>
          <w:sz w:val="20"/>
          <w:szCs w:val="20"/>
        </w:rPr>
        <w:t>2018</w:t>
      </w:r>
      <w:r>
        <w:rPr>
          <w:rFonts w:asciiTheme="majorHAnsi" w:hAnsiTheme="majorHAnsi" w:cstheme="majorHAnsi"/>
          <w:sz w:val="20"/>
          <w:szCs w:val="20"/>
        </w:rPr>
        <w:t xml:space="preserve">) (section 118, NERL; Rule 154, NERR) </w:t>
      </w:r>
    </w:p>
    <w:p w:rsidR="002A3426" w:rsidRDefault="00A73CAC">
      <w:pPr>
        <w:pStyle w:val="MELegal3"/>
        <w:rPr>
          <w:rFonts w:asciiTheme="majorHAnsi" w:hAnsiTheme="majorHAnsi" w:cstheme="majorHAnsi"/>
          <w:sz w:val="20"/>
          <w:szCs w:val="20"/>
        </w:rPr>
      </w:pPr>
      <w:r>
        <w:rPr>
          <w:rFonts w:asciiTheme="majorHAnsi" w:hAnsiTheme="majorHAnsi" w:cstheme="majorHAnsi"/>
          <w:sz w:val="20"/>
          <w:szCs w:val="20"/>
        </w:rPr>
        <w:t>Retailer of Last Resort Guideline, Plan and Statement of Approach</w:t>
      </w:r>
      <w:r>
        <w:rPr>
          <w:rStyle w:val="FootnoteReference"/>
          <w:rFonts w:asciiTheme="majorHAnsi" w:hAnsiTheme="majorHAnsi" w:cstheme="majorHAnsi"/>
          <w:sz w:val="20"/>
          <w:szCs w:val="20"/>
        </w:rPr>
        <w:footnoteReference w:id="3"/>
      </w:r>
      <w:r>
        <w:rPr>
          <w:rFonts w:asciiTheme="majorHAnsi" w:hAnsiTheme="majorHAnsi" w:cstheme="majorHAnsi"/>
          <w:sz w:val="20"/>
          <w:szCs w:val="20"/>
        </w:rPr>
        <w:t xml:space="preserve"> (June 2012) (section 135, NERL)</w:t>
      </w:r>
      <w:r w:rsidR="00295A56">
        <w:rPr>
          <w:rFonts w:asciiTheme="majorHAnsi" w:hAnsiTheme="majorHAnsi" w:cstheme="majorHAnsi"/>
          <w:sz w:val="20"/>
          <w:szCs w:val="20"/>
        </w:rPr>
        <w:t xml:space="preserve"> </w:t>
      </w:r>
    </w:p>
    <w:p w:rsidR="002A3426" w:rsidRDefault="00A73CAC">
      <w:pPr>
        <w:pStyle w:val="MELegal3"/>
        <w:rPr>
          <w:rFonts w:asciiTheme="majorHAnsi" w:hAnsiTheme="majorHAnsi" w:cstheme="majorHAnsi"/>
          <w:sz w:val="20"/>
          <w:szCs w:val="20"/>
        </w:rPr>
      </w:pPr>
      <w:r w:rsidRPr="00697232">
        <w:rPr>
          <w:rFonts w:asciiTheme="majorHAnsi" w:hAnsiTheme="majorHAnsi" w:cstheme="majorHAnsi"/>
          <w:sz w:val="20"/>
          <w:szCs w:val="20"/>
        </w:rPr>
        <w:t>Guidance on AER approval of customer hardship policies (</w:t>
      </w:r>
      <w:r w:rsidR="00D11632" w:rsidRPr="00697232">
        <w:rPr>
          <w:rFonts w:asciiTheme="majorHAnsi" w:hAnsiTheme="majorHAnsi" w:cstheme="majorHAnsi"/>
          <w:sz w:val="20"/>
          <w:szCs w:val="20"/>
        </w:rPr>
        <w:t>July 2012</w:t>
      </w:r>
      <w:r w:rsidRPr="00697232">
        <w:rPr>
          <w:rFonts w:asciiTheme="majorHAnsi" w:hAnsiTheme="majorHAnsi" w:cstheme="majorHAnsi"/>
          <w:sz w:val="20"/>
          <w:szCs w:val="20"/>
        </w:rPr>
        <w:t>)</w:t>
      </w:r>
      <w:r w:rsidRPr="00697232">
        <w:rPr>
          <w:rStyle w:val="FootnoteReference"/>
          <w:rFonts w:asciiTheme="majorHAnsi" w:hAnsiTheme="majorHAnsi" w:cstheme="majorHAnsi"/>
          <w:sz w:val="20"/>
          <w:szCs w:val="20"/>
        </w:rPr>
        <w:footnoteReference w:id="4"/>
      </w:r>
      <w:r w:rsidR="00295A56">
        <w:rPr>
          <w:rFonts w:asciiTheme="majorHAnsi" w:hAnsiTheme="majorHAnsi" w:cstheme="majorHAnsi"/>
          <w:sz w:val="20"/>
          <w:szCs w:val="20"/>
        </w:rPr>
        <w:t xml:space="preserve"> </w:t>
      </w:r>
    </w:p>
    <w:p w:rsidR="003529FE" w:rsidRDefault="003529FE">
      <w:pPr>
        <w:pStyle w:val="MELegal3"/>
        <w:rPr>
          <w:rFonts w:asciiTheme="majorHAnsi" w:hAnsiTheme="majorHAnsi" w:cstheme="majorHAnsi"/>
          <w:sz w:val="20"/>
          <w:szCs w:val="20"/>
        </w:rPr>
      </w:pPr>
      <w:r>
        <w:rPr>
          <w:rFonts w:asciiTheme="majorHAnsi" w:hAnsiTheme="majorHAnsi" w:cstheme="majorHAnsi"/>
          <w:sz w:val="20"/>
          <w:szCs w:val="20"/>
        </w:rPr>
        <w:t>Benefit Change Notice Guidelines (June 2018) (Rule 48A, NERR)</w:t>
      </w:r>
    </w:p>
    <w:p w:rsidR="002A3426" w:rsidRPr="00562623" w:rsidRDefault="00A73CAC">
      <w:pPr>
        <w:pStyle w:val="MELegal3"/>
        <w:rPr>
          <w:rFonts w:asciiTheme="majorHAnsi" w:hAnsiTheme="majorHAnsi" w:cstheme="majorHAnsi"/>
          <w:sz w:val="20"/>
          <w:szCs w:val="20"/>
        </w:rPr>
      </w:pPr>
      <w:r w:rsidRPr="00562623">
        <w:rPr>
          <w:rFonts w:asciiTheme="majorHAnsi" w:hAnsiTheme="majorHAnsi" w:cstheme="majorHAnsi"/>
          <w:sz w:val="20"/>
          <w:szCs w:val="20"/>
        </w:rPr>
        <w:t xml:space="preserve">Minimum </w:t>
      </w:r>
      <w:r w:rsidR="003529FE">
        <w:rPr>
          <w:rFonts w:asciiTheme="majorHAnsi" w:hAnsiTheme="majorHAnsi" w:cstheme="majorHAnsi"/>
          <w:sz w:val="20"/>
          <w:szCs w:val="20"/>
        </w:rPr>
        <w:t>D</w:t>
      </w:r>
      <w:r w:rsidR="003529FE" w:rsidRPr="00562623">
        <w:rPr>
          <w:rFonts w:asciiTheme="majorHAnsi" w:hAnsiTheme="majorHAnsi" w:cstheme="majorHAnsi"/>
          <w:sz w:val="20"/>
          <w:szCs w:val="20"/>
        </w:rPr>
        <w:t xml:space="preserve">isconnection </w:t>
      </w:r>
      <w:r w:rsidR="003529FE">
        <w:rPr>
          <w:rFonts w:asciiTheme="majorHAnsi" w:hAnsiTheme="majorHAnsi" w:cstheme="majorHAnsi"/>
          <w:sz w:val="20"/>
          <w:szCs w:val="20"/>
        </w:rPr>
        <w:t>Amount</w:t>
      </w:r>
      <w:r w:rsidR="003529FE" w:rsidRPr="00562623">
        <w:rPr>
          <w:rFonts w:asciiTheme="majorHAnsi" w:hAnsiTheme="majorHAnsi" w:cstheme="majorHAnsi"/>
          <w:sz w:val="20"/>
          <w:szCs w:val="20"/>
        </w:rPr>
        <w:t xml:space="preserve"> </w:t>
      </w:r>
      <w:r w:rsidRPr="00562623">
        <w:rPr>
          <w:rFonts w:asciiTheme="majorHAnsi" w:hAnsiTheme="majorHAnsi" w:cstheme="majorHAnsi"/>
          <w:sz w:val="20"/>
          <w:szCs w:val="20"/>
        </w:rPr>
        <w:t>(</w:t>
      </w:r>
      <w:r w:rsidR="00562623" w:rsidRPr="00562623">
        <w:rPr>
          <w:rFonts w:asciiTheme="majorHAnsi" w:hAnsiTheme="majorHAnsi" w:cstheme="majorHAnsi"/>
          <w:sz w:val="20"/>
          <w:szCs w:val="20"/>
        </w:rPr>
        <w:t>March 2017</w:t>
      </w:r>
      <w:r w:rsidRPr="00562623">
        <w:rPr>
          <w:rFonts w:asciiTheme="majorHAnsi" w:hAnsiTheme="majorHAnsi" w:cstheme="majorHAnsi"/>
          <w:sz w:val="20"/>
          <w:szCs w:val="20"/>
        </w:rPr>
        <w:t>) (Rule 116, NERR)</w:t>
      </w:r>
      <w:r w:rsidR="00295A56">
        <w:rPr>
          <w:rFonts w:asciiTheme="majorHAnsi" w:hAnsiTheme="majorHAnsi" w:cstheme="majorHAnsi"/>
          <w:sz w:val="20"/>
          <w:szCs w:val="20"/>
        </w:rPr>
        <w:t xml:space="preserve"> </w:t>
      </w:r>
    </w:p>
    <w:p w:rsidR="002A3426" w:rsidRDefault="00A73CAC">
      <w:pPr>
        <w:pStyle w:val="MELegal3"/>
        <w:rPr>
          <w:rFonts w:asciiTheme="majorHAnsi" w:hAnsiTheme="majorHAnsi" w:cstheme="majorHAnsi"/>
          <w:sz w:val="20"/>
          <w:szCs w:val="20"/>
        </w:rPr>
      </w:pPr>
      <w:r>
        <w:rPr>
          <w:rFonts w:asciiTheme="majorHAnsi" w:hAnsiTheme="majorHAnsi" w:cstheme="majorHAnsi"/>
          <w:sz w:val="20"/>
          <w:szCs w:val="20"/>
        </w:rPr>
        <w:t xml:space="preserve">Electricity </w:t>
      </w:r>
      <w:r w:rsidR="00761390">
        <w:rPr>
          <w:rFonts w:asciiTheme="majorHAnsi" w:hAnsiTheme="majorHAnsi" w:cstheme="majorHAnsi"/>
          <w:sz w:val="20"/>
          <w:szCs w:val="20"/>
        </w:rPr>
        <w:t xml:space="preserve">and gas </w:t>
      </w:r>
      <w:r>
        <w:rPr>
          <w:rFonts w:asciiTheme="majorHAnsi" w:hAnsiTheme="majorHAnsi" w:cstheme="majorHAnsi"/>
          <w:sz w:val="20"/>
          <w:szCs w:val="20"/>
        </w:rPr>
        <w:t xml:space="preserve">bill benchmarks for residential customers </w:t>
      </w:r>
      <w:r w:rsidR="00435EEC">
        <w:rPr>
          <w:rFonts w:asciiTheme="majorHAnsi" w:hAnsiTheme="majorHAnsi" w:cstheme="majorHAnsi"/>
          <w:sz w:val="20"/>
          <w:szCs w:val="20"/>
        </w:rPr>
        <w:t xml:space="preserve">2017 </w:t>
      </w:r>
      <w:r>
        <w:rPr>
          <w:rFonts w:asciiTheme="majorHAnsi" w:hAnsiTheme="majorHAnsi" w:cstheme="majorHAnsi"/>
          <w:sz w:val="20"/>
          <w:szCs w:val="20"/>
        </w:rPr>
        <w:t xml:space="preserve">(December </w:t>
      </w:r>
      <w:r w:rsidR="00761390">
        <w:rPr>
          <w:rFonts w:asciiTheme="majorHAnsi" w:hAnsiTheme="majorHAnsi" w:cstheme="majorHAnsi"/>
          <w:sz w:val="20"/>
          <w:szCs w:val="20"/>
        </w:rPr>
        <w:t>2017</w:t>
      </w:r>
      <w:r>
        <w:rPr>
          <w:rFonts w:asciiTheme="majorHAnsi" w:hAnsiTheme="majorHAnsi" w:cstheme="majorHAnsi"/>
          <w:sz w:val="20"/>
          <w:szCs w:val="20"/>
        </w:rPr>
        <w:t>) (Rule 169, NERR)</w:t>
      </w:r>
      <w:r w:rsidR="00761390">
        <w:rPr>
          <w:rFonts w:asciiTheme="majorHAnsi" w:hAnsiTheme="majorHAnsi" w:cstheme="majorHAnsi"/>
          <w:sz w:val="20"/>
          <w:szCs w:val="20"/>
        </w:rPr>
        <w:t xml:space="preserve"> </w:t>
      </w:r>
    </w:p>
    <w:p w:rsidR="002A3426" w:rsidRDefault="00A73CAC">
      <w:pPr>
        <w:pStyle w:val="MELegal3"/>
        <w:rPr>
          <w:rFonts w:asciiTheme="majorHAnsi" w:hAnsiTheme="majorHAnsi" w:cstheme="majorHAnsi"/>
          <w:sz w:val="20"/>
          <w:szCs w:val="20"/>
        </w:rPr>
      </w:pPr>
      <w:r>
        <w:rPr>
          <w:rFonts w:asciiTheme="majorHAnsi" w:hAnsiTheme="majorHAnsi" w:cstheme="majorHAnsi"/>
          <w:sz w:val="20"/>
          <w:szCs w:val="20"/>
        </w:rPr>
        <w:t>Retail Pricing Information Guideline</w:t>
      </w:r>
      <w:r w:rsidR="00761390">
        <w:rPr>
          <w:rFonts w:asciiTheme="majorHAnsi" w:hAnsiTheme="majorHAnsi" w:cstheme="majorHAnsi"/>
          <w:sz w:val="20"/>
          <w:szCs w:val="20"/>
        </w:rPr>
        <w:t>s</w:t>
      </w:r>
      <w:r>
        <w:rPr>
          <w:rFonts w:asciiTheme="majorHAnsi" w:hAnsiTheme="majorHAnsi" w:cstheme="majorHAnsi"/>
          <w:sz w:val="20"/>
          <w:szCs w:val="20"/>
        </w:rPr>
        <w:t xml:space="preserve"> </w:t>
      </w:r>
      <w:r w:rsidR="00435EEC">
        <w:rPr>
          <w:rFonts w:asciiTheme="majorHAnsi" w:hAnsiTheme="majorHAnsi" w:cstheme="majorHAnsi"/>
          <w:sz w:val="20"/>
          <w:szCs w:val="20"/>
        </w:rPr>
        <w:t xml:space="preserve">2018 </w:t>
      </w:r>
      <w:r>
        <w:rPr>
          <w:rFonts w:asciiTheme="majorHAnsi" w:hAnsiTheme="majorHAnsi" w:cstheme="majorHAnsi"/>
          <w:sz w:val="20"/>
          <w:szCs w:val="20"/>
        </w:rPr>
        <w:t>(</w:t>
      </w:r>
      <w:r w:rsidR="00F9227E">
        <w:rPr>
          <w:rFonts w:asciiTheme="majorHAnsi" w:hAnsiTheme="majorHAnsi" w:cstheme="majorHAnsi"/>
          <w:sz w:val="20"/>
          <w:szCs w:val="20"/>
        </w:rPr>
        <w:t>August 201</w:t>
      </w:r>
      <w:r w:rsidR="00435EEC">
        <w:rPr>
          <w:rFonts w:asciiTheme="majorHAnsi" w:hAnsiTheme="majorHAnsi" w:cstheme="majorHAnsi"/>
          <w:sz w:val="20"/>
          <w:szCs w:val="20"/>
        </w:rPr>
        <w:t>8</w:t>
      </w:r>
      <w:r>
        <w:rPr>
          <w:rFonts w:asciiTheme="majorHAnsi" w:hAnsiTheme="majorHAnsi" w:cstheme="majorHAnsi"/>
          <w:sz w:val="20"/>
          <w:szCs w:val="20"/>
        </w:rPr>
        <w:t>)</w:t>
      </w:r>
      <w:r>
        <w:rPr>
          <w:rStyle w:val="FootnoteReference"/>
          <w:rFonts w:asciiTheme="majorHAnsi" w:hAnsiTheme="majorHAnsi" w:cstheme="majorHAnsi"/>
          <w:sz w:val="20"/>
          <w:szCs w:val="20"/>
        </w:rPr>
        <w:t xml:space="preserve"> </w:t>
      </w:r>
      <w:r>
        <w:rPr>
          <w:rStyle w:val="FootnoteReference"/>
          <w:rFonts w:asciiTheme="majorHAnsi" w:hAnsiTheme="majorHAnsi" w:cstheme="majorHAnsi"/>
          <w:sz w:val="20"/>
          <w:szCs w:val="20"/>
        </w:rPr>
        <w:footnoteReference w:id="5"/>
      </w:r>
      <w:r>
        <w:rPr>
          <w:rFonts w:asciiTheme="majorHAnsi" w:hAnsiTheme="majorHAnsi" w:cstheme="majorHAnsi"/>
          <w:sz w:val="20"/>
          <w:szCs w:val="20"/>
        </w:rPr>
        <w:t xml:space="preserve"> (section 61, NERL)</w:t>
      </w:r>
    </w:p>
    <w:p w:rsidR="002A3426" w:rsidRDefault="00A73CAC">
      <w:pPr>
        <w:pStyle w:val="MELegal3"/>
        <w:rPr>
          <w:rFonts w:asciiTheme="majorHAnsi" w:hAnsiTheme="majorHAnsi" w:cstheme="majorHAnsi"/>
          <w:sz w:val="20"/>
          <w:szCs w:val="20"/>
        </w:rPr>
      </w:pPr>
      <w:r>
        <w:rPr>
          <w:rFonts w:asciiTheme="majorHAnsi" w:hAnsiTheme="majorHAnsi" w:cstheme="majorHAnsi"/>
          <w:sz w:val="20"/>
          <w:szCs w:val="20"/>
        </w:rPr>
        <w:lastRenderedPageBreak/>
        <w:t>Compliance Procedures and Guidelines (</w:t>
      </w:r>
      <w:r w:rsidR="00295A56">
        <w:rPr>
          <w:rFonts w:asciiTheme="majorHAnsi" w:hAnsiTheme="majorHAnsi" w:cstheme="majorHAnsi"/>
          <w:sz w:val="20"/>
          <w:szCs w:val="20"/>
        </w:rPr>
        <w:t xml:space="preserve">December </w:t>
      </w:r>
      <w:r w:rsidR="00562623">
        <w:rPr>
          <w:rFonts w:asciiTheme="majorHAnsi" w:hAnsiTheme="majorHAnsi" w:cstheme="majorHAnsi"/>
          <w:sz w:val="20"/>
          <w:szCs w:val="20"/>
        </w:rPr>
        <w:t>2017</w:t>
      </w:r>
      <w:r>
        <w:rPr>
          <w:rFonts w:asciiTheme="majorHAnsi" w:hAnsiTheme="majorHAnsi" w:cstheme="majorHAnsi"/>
          <w:sz w:val="20"/>
          <w:szCs w:val="20"/>
        </w:rPr>
        <w:t>) (section 281, NERL)</w:t>
      </w:r>
    </w:p>
    <w:p w:rsidR="002A3426" w:rsidRDefault="00435EEC">
      <w:pPr>
        <w:pStyle w:val="MELegal3"/>
        <w:rPr>
          <w:rFonts w:asciiTheme="majorHAnsi" w:hAnsiTheme="majorHAnsi" w:cstheme="majorHAnsi"/>
          <w:sz w:val="20"/>
          <w:szCs w:val="20"/>
        </w:rPr>
      </w:pPr>
      <w:r>
        <w:rPr>
          <w:rFonts w:asciiTheme="majorHAnsi" w:hAnsiTheme="majorHAnsi" w:cstheme="majorHAnsi"/>
          <w:sz w:val="20"/>
          <w:szCs w:val="20"/>
        </w:rPr>
        <w:t>AER (</w:t>
      </w:r>
      <w:r w:rsidR="00A73CAC">
        <w:rPr>
          <w:rFonts w:asciiTheme="majorHAnsi" w:hAnsiTheme="majorHAnsi" w:cstheme="majorHAnsi"/>
          <w:sz w:val="20"/>
          <w:szCs w:val="20"/>
        </w:rPr>
        <w:t xml:space="preserve">Retail </w:t>
      </w:r>
      <w:r>
        <w:rPr>
          <w:rFonts w:asciiTheme="majorHAnsi" w:hAnsiTheme="majorHAnsi" w:cstheme="majorHAnsi"/>
          <w:sz w:val="20"/>
          <w:szCs w:val="20"/>
        </w:rPr>
        <w:t xml:space="preserve">Law) </w:t>
      </w:r>
      <w:r w:rsidR="00A73CAC">
        <w:rPr>
          <w:rFonts w:asciiTheme="majorHAnsi" w:hAnsiTheme="majorHAnsi" w:cstheme="majorHAnsi"/>
          <w:sz w:val="20"/>
          <w:szCs w:val="20"/>
        </w:rPr>
        <w:t>Performance Reporting Procedures and Guidelines (</w:t>
      </w:r>
      <w:r>
        <w:rPr>
          <w:rFonts w:asciiTheme="majorHAnsi" w:hAnsiTheme="majorHAnsi" w:cstheme="majorHAnsi"/>
          <w:sz w:val="20"/>
          <w:szCs w:val="20"/>
        </w:rPr>
        <w:t>January 2019</w:t>
      </w:r>
      <w:r w:rsidR="00A73CAC">
        <w:rPr>
          <w:rFonts w:asciiTheme="majorHAnsi" w:hAnsiTheme="majorHAnsi" w:cstheme="majorHAnsi"/>
          <w:sz w:val="20"/>
          <w:szCs w:val="20"/>
        </w:rPr>
        <w:t>) (section 286, NERL)</w:t>
      </w:r>
    </w:p>
    <w:p w:rsidR="002A3426" w:rsidRDefault="00A73CAC">
      <w:pPr>
        <w:pStyle w:val="MELegal1"/>
        <w:keepNext/>
        <w:spacing w:before="120" w:after="120"/>
        <w:rPr>
          <w:rFonts w:asciiTheme="majorHAnsi" w:hAnsiTheme="majorHAnsi" w:cstheme="majorHAnsi"/>
          <w:b/>
          <w:sz w:val="20"/>
          <w:szCs w:val="20"/>
        </w:rPr>
      </w:pPr>
      <w:r>
        <w:rPr>
          <w:rFonts w:asciiTheme="majorHAnsi" w:hAnsiTheme="majorHAnsi" w:cstheme="majorHAnsi"/>
          <w:b/>
          <w:sz w:val="20"/>
          <w:szCs w:val="20"/>
        </w:rPr>
        <w:t>AEMO Electricity Retail Market Procedures</w:t>
      </w:r>
      <w:r>
        <w:rPr>
          <w:rStyle w:val="FootnoteReference"/>
          <w:rFonts w:asciiTheme="majorHAnsi" w:hAnsiTheme="majorHAnsi" w:cstheme="majorHAnsi"/>
          <w:b/>
          <w:sz w:val="20"/>
          <w:szCs w:val="20"/>
        </w:rPr>
        <w:footnoteReference w:id="6"/>
      </w:r>
    </w:p>
    <w:p w:rsidR="002A3426" w:rsidRDefault="00A73CAC">
      <w:pPr>
        <w:pStyle w:val="MELegal3"/>
        <w:rPr>
          <w:rFonts w:asciiTheme="majorHAnsi" w:hAnsiTheme="majorHAnsi" w:cstheme="majorHAnsi"/>
          <w:sz w:val="20"/>
          <w:szCs w:val="20"/>
        </w:rPr>
      </w:pPr>
      <w:r>
        <w:rPr>
          <w:rFonts w:asciiTheme="majorHAnsi" w:hAnsiTheme="majorHAnsi" w:cstheme="majorHAnsi"/>
          <w:sz w:val="20"/>
          <w:szCs w:val="20"/>
        </w:rPr>
        <w:t xml:space="preserve">Market Settlement and Transfer Solution Procedures (MSATS) (clause </w:t>
      </w:r>
      <w:r w:rsidR="003F2D5C">
        <w:rPr>
          <w:rFonts w:asciiTheme="majorHAnsi" w:hAnsiTheme="majorHAnsi" w:cstheme="majorHAnsi"/>
          <w:sz w:val="20"/>
          <w:szCs w:val="20"/>
        </w:rPr>
        <w:t>7.16.2</w:t>
      </w:r>
      <w:r>
        <w:rPr>
          <w:rFonts w:asciiTheme="majorHAnsi" w:hAnsiTheme="majorHAnsi" w:cstheme="majorHAnsi"/>
          <w:sz w:val="20"/>
          <w:szCs w:val="20"/>
        </w:rPr>
        <w:t>, NER)</w:t>
      </w:r>
    </w:p>
    <w:p w:rsidR="002A3426" w:rsidRDefault="00A73CAC">
      <w:pPr>
        <w:pStyle w:val="MELegal3"/>
        <w:rPr>
          <w:rFonts w:asciiTheme="majorHAnsi" w:hAnsiTheme="majorHAnsi" w:cstheme="majorHAnsi"/>
          <w:sz w:val="20"/>
          <w:szCs w:val="20"/>
        </w:rPr>
      </w:pPr>
      <w:r>
        <w:rPr>
          <w:rFonts w:asciiTheme="majorHAnsi" w:hAnsiTheme="majorHAnsi" w:cstheme="majorHAnsi"/>
          <w:sz w:val="20"/>
          <w:szCs w:val="20"/>
        </w:rPr>
        <w:t xml:space="preserve">National Electricity Market Metrology Procedure (clause </w:t>
      </w:r>
      <w:r w:rsidR="003F2D5C">
        <w:rPr>
          <w:rFonts w:asciiTheme="majorHAnsi" w:hAnsiTheme="majorHAnsi" w:cstheme="majorHAnsi"/>
          <w:sz w:val="20"/>
          <w:szCs w:val="20"/>
        </w:rPr>
        <w:t>7.16</w:t>
      </w:r>
      <w:r>
        <w:rPr>
          <w:rFonts w:asciiTheme="majorHAnsi" w:hAnsiTheme="majorHAnsi" w:cstheme="majorHAnsi"/>
          <w:sz w:val="20"/>
          <w:szCs w:val="20"/>
        </w:rPr>
        <w:t>, NER)</w:t>
      </w:r>
    </w:p>
    <w:p w:rsidR="002A3426" w:rsidRDefault="00A73CAC">
      <w:pPr>
        <w:pStyle w:val="MELegal1"/>
        <w:keepNext/>
        <w:spacing w:before="120" w:after="120"/>
        <w:rPr>
          <w:rFonts w:asciiTheme="majorHAnsi" w:hAnsiTheme="majorHAnsi" w:cstheme="majorHAnsi"/>
          <w:b/>
          <w:sz w:val="20"/>
          <w:szCs w:val="20"/>
        </w:rPr>
      </w:pPr>
      <w:r>
        <w:rPr>
          <w:rFonts w:asciiTheme="majorHAnsi" w:hAnsiTheme="majorHAnsi" w:cstheme="majorHAnsi"/>
          <w:b/>
          <w:sz w:val="20"/>
          <w:szCs w:val="20"/>
        </w:rPr>
        <w:t>AEMO Procedures made under National Energy Retail Law and Rules</w:t>
      </w:r>
    </w:p>
    <w:p w:rsidR="002A3426" w:rsidRDefault="00A73CAC">
      <w:pPr>
        <w:pStyle w:val="MELegal3"/>
        <w:rPr>
          <w:rFonts w:asciiTheme="majorHAnsi" w:hAnsiTheme="majorHAnsi" w:cstheme="majorHAnsi"/>
          <w:sz w:val="20"/>
          <w:szCs w:val="20"/>
        </w:rPr>
      </w:pPr>
      <w:proofErr w:type="spellStart"/>
      <w:r>
        <w:rPr>
          <w:rFonts w:asciiTheme="majorHAnsi" w:hAnsiTheme="majorHAnsi" w:cstheme="majorHAnsi"/>
          <w:sz w:val="20"/>
          <w:szCs w:val="20"/>
        </w:rPr>
        <w:t>RoLR</w:t>
      </w:r>
      <w:proofErr w:type="spellEnd"/>
      <w:r>
        <w:rPr>
          <w:rFonts w:asciiTheme="majorHAnsi" w:hAnsiTheme="majorHAnsi" w:cstheme="majorHAnsi"/>
          <w:sz w:val="20"/>
          <w:szCs w:val="20"/>
        </w:rPr>
        <w:t xml:space="preserve"> Procedures (section 144, NERL) </w:t>
      </w:r>
    </w:p>
    <w:p w:rsidR="002A3426" w:rsidRDefault="00A73CAC">
      <w:pPr>
        <w:pStyle w:val="MELegal1"/>
        <w:keepNext/>
        <w:spacing w:before="120" w:after="120"/>
        <w:rPr>
          <w:rFonts w:asciiTheme="majorHAnsi" w:hAnsiTheme="majorHAnsi" w:cstheme="majorHAnsi"/>
          <w:b/>
          <w:sz w:val="20"/>
          <w:szCs w:val="20"/>
        </w:rPr>
      </w:pPr>
      <w:r>
        <w:rPr>
          <w:rFonts w:asciiTheme="majorHAnsi" w:hAnsiTheme="majorHAnsi" w:cstheme="majorHAnsi"/>
          <w:b/>
          <w:sz w:val="20"/>
          <w:szCs w:val="20"/>
        </w:rPr>
        <w:t xml:space="preserve">AEMO Gas Retail Market Procedures </w:t>
      </w:r>
    </w:p>
    <w:p w:rsidR="002A3426" w:rsidRDefault="00A73CAC">
      <w:pPr>
        <w:pStyle w:val="MELegal3"/>
        <w:rPr>
          <w:rFonts w:asciiTheme="majorHAnsi" w:hAnsiTheme="majorHAnsi" w:cstheme="majorHAnsi"/>
          <w:sz w:val="20"/>
          <w:szCs w:val="20"/>
        </w:rPr>
      </w:pPr>
      <w:r>
        <w:rPr>
          <w:rFonts w:asciiTheme="majorHAnsi" w:hAnsiTheme="majorHAnsi" w:cstheme="majorHAnsi"/>
          <w:sz w:val="20"/>
          <w:szCs w:val="20"/>
        </w:rPr>
        <w:t xml:space="preserve">Retail Market Procedure (NSW and ACT) (version </w:t>
      </w:r>
      <w:r w:rsidR="00435EEC">
        <w:rPr>
          <w:rFonts w:asciiTheme="majorHAnsi" w:hAnsiTheme="majorHAnsi" w:cstheme="majorHAnsi"/>
          <w:sz w:val="20"/>
          <w:szCs w:val="20"/>
        </w:rPr>
        <w:t>20</w:t>
      </w:r>
      <w:r>
        <w:rPr>
          <w:rFonts w:asciiTheme="majorHAnsi" w:hAnsiTheme="majorHAnsi" w:cstheme="majorHAnsi"/>
          <w:sz w:val="20"/>
          <w:szCs w:val="20"/>
        </w:rPr>
        <w:t>)</w:t>
      </w:r>
    </w:p>
    <w:p w:rsidR="002A3426" w:rsidRDefault="00A73CAC">
      <w:pPr>
        <w:pStyle w:val="MELegal3"/>
        <w:rPr>
          <w:rFonts w:asciiTheme="majorHAnsi" w:hAnsiTheme="majorHAnsi" w:cstheme="majorHAnsi"/>
          <w:sz w:val="20"/>
          <w:szCs w:val="20"/>
        </w:rPr>
      </w:pPr>
      <w:r>
        <w:rPr>
          <w:rFonts w:asciiTheme="majorHAnsi" w:hAnsiTheme="majorHAnsi" w:cstheme="majorHAnsi"/>
          <w:sz w:val="20"/>
          <w:szCs w:val="20"/>
        </w:rPr>
        <w:t xml:space="preserve">Retail Market Procedure (Queensland) (version </w:t>
      </w:r>
      <w:r w:rsidR="00435EEC">
        <w:rPr>
          <w:rFonts w:asciiTheme="majorHAnsi" w:hAnsiTheme="majorHAnsi" w:cstheme="majorHAnsi"/>
          <w:sz w:val="20"/>
          <w:szCs w:val="20"/>
        </w:rPr>
        <w:t>16</w:t>
      </w:r>
      <w:r>
        <w:rPr>
          <w:rFonts w:asciiTheme="majorHAnsi" w:hAnsiTheme="majorHAnsi" w:cstheme="majorHAnsi"/>
          <w:sz w:val="20"/>
          <w:szCs w:val="20"/>
        </w:rPr>
        <w:t>)</w:t>
      </w:r>
    </w:p>
    <w:p w:rsidR="002A3426" w:rsidRDefault="00A73CAC">
      <w:pPr>
        <w:pStyle w:val="MELegal3"/>
        <w:rPr>
          <w:rFonts w:asciiTheme="majorHAnsi" w:hAnsiTheme="majorHAnsi" w:cstheme="majorHAnsi"/>
          <w:sz w:val="20"/>
          <w:szCs w:val="20"/>
        </w:rPr>
      </w:pPr>
      <w:r>
        <w:rPr>
          <w:rFonts w:asciiTheme="majorHAnsi" w:hAnsiTheme="majorHAnsi" w:cstheme="majorHAnsi"/>
          <w:sz w:val="20"/>
          <w:szCs w:val="20"/>
        </w:rPr>
        <w:t xml:space="preserve">Retail Market Procedures (South Australia) (version </w:t>
      </w:r>
      <w:r w:rsidR="00435EEC">
        <w:rPr>
          <w:rFonts w:asciiTheme="majorHAnsi" w:hAnsiTheme="majorHAnsi" w:cstheme="majorHAnsi"/>
          <w:sz w:val="20"/>
          <w:szCs w:val="20"/>
        </w:rPr>
        <w:t>13</w:t>
      </w:r>
      <w:r>
        <w:rPr>
          <w:rFonts w:asciiTheme="majorHAnsi" w:hAnsiTheme="majorHAnsi" w:cstheme="majorHAnsi"/>
          <w:sz w:val="20"/>
          <w:szCs w:val="20"/>
        </w:rPr>
        <w:t>)</w:t>
      </w:r>
    </w:p>
    <w:p w:rsidR="002A3426" w:rsidRDefault="00A73CAC">
      <w:pPr>
        <w:pStyle w:val="MELegal1"/>
        <w:keepNext/>
        <w:spacing w:before="120" w:after="120"/>
        <w:rPr>
          <w:rFonts w:asciiTheme="majorHAnsi" w:hAnsiTheme="majorHAnsi" w:cstheme="majorHAnsi"/>
          <w:b/>
          <w:sz w:val="20"/>
          <w:szCs w:val="20"/>
        </w:rPr>
      </w:pPr>
      <w:r>
        <w:rPr>
          <w:rFonts w:asciiTheme="majorHAnsi" w:hAnsiTheme="majorHAnsi" w:cstheme="majorHAnsi"/>
          <w:b/>
          <w:sz w:val="20"/>
          <w:szCs w:val="20"/>
        </w:rPr>
        <w:lastRenderedPageBreak/>
        <w:t>The Australian Consumer Law is found in Schedule 2 to the Competition and Consumer Act 2010 (Cth)</w:t>
      </w:r>
    </w:p>
    <w:p w:rsidR="001F3AE9" w:rsidRDefault="00A73CAC" w:rsidP="00D72F07">
      <w:pPr>
        <w:pStyle w:val="MELegal1"/>
        <w:keepNext/>
        <w:spacing w:before="120" w:after="120"/>
        <w:rPr>
          <w:rFonts w:asciiTheme="majorHAnsi" w:hAnsiTheme="majorHAnsi" w:cstheme="majorHAnsi"/>
          <w:b/>
          <w:sz w:val="20"/>
          <w:szCs w:val="20"/>
        </w:rPr>
      </w:pPr>
      <w:r w:rsidRPr="00D72F07">
        <w:rPr>
          <w:rFonts w:asciiTheme="majorHAnsi" w:hAnsiTheme="majorHAnsi" w:cstheme="majorHAnsi"/>
          <w:b/>
          <w:sz w:val="20"/>
          <w:szCs w:val="20"/>
        </w:rPr>
        <w:t>See in particular clause 89 of the Competition and Consumer Regulations 2010 (Cth)</w:t>
      </w:r>
      <w:r w:rsidR="003F2D5C" w:rsidRPr="00D72F07">
        <w:rPr>
          <w:rFonts w:asciiTheme="majorHAnsi" w:hAnsiTheme="majorHAnsi" w:cstheme="majorHAnsi"/>
          <w:b/>
          <w:sz w:val="20"/>
          <w:szCs w:val="20"/>
        </w:rPr>
        <w:t xml:space="preserve"> </w:t>
      </w:r>
    </w:p>
    <w:p w:rsidR="008869E7" w:rsidRPr="008869E7" w:rsidRDefault="008869E7" w:rsidP="00D72F07">
      <w:pPr>
        <w:pStyle w:val="MELegal1"/>
        <w:keepNext/>
        <w:spacing w:before="120" w:after="120"/>
        <w:rPr>
          <w:rFonts w:asciiTheme="majorHAnsi" w:hAnsiTheme="majorHAnsi" w:cstheme="majorHAnsi"/>
          <w:b/>
          <w:sz w:val="20"/>
          <w:szCs w:val="20"/>
        </w:rPr>
      </w:pPr>
      <w:r w:rsidRPr="008869E7">
        <w:rPr>
          <w:rFonts w:asciiTheme="majorHAnsi" w:hAnsiTheme="majorHAnsi" w:cstheme="majorHAnsi"/>
          <w:b/>
          <w:sz w:val="20"/>
          <w:szCs w:val="20"/>
        </w:rPr>
        <w:t>Competition and Consumer (Industry Code – Electricity Retail) Regulations 2019</w:t>
      </w:r>
      <w:r>
        <w:rPr>
          <w:rFonts w:asciiTheme="majorHAnsi" w:hAnsiTheme="majorHAnsi" w:cstheme="majorHAnsi"/>
          <w:b/>
          <w:sz w:val="20"/>
          <w:szCs w:val="20"/>
        </w:rPr>
        <w:t xml:space="preserve"> (Cth)</w:t>
      </w:r>
      <w:r>
        <w:rPr>
          <w:rStyle w:val="FootnoteReference"/>
          <w:rFonts w:asciiTheme="majorHAnsi" w:hAnsiTheme="majorHAnsi" w:cstheme="majorHAnsi"/>
          <w:b/>
          <w:sz w:val="20"/>
          <w:szCs w:val="20"/>
        </w:rPr>
        <w:footnoteReference w:id="7"/>
      </w:r>
      <w:r>
        <w:rPr>
          <w:rFonts w:asciiTheme="majorHAnsi" w:hAnsiTheme="majorHAnsi" w:cstheme="majorHAnsi"/>
          <w:b/>
          <w:sz w:val="20"/>
          <w:szCs w:val="20"/>
        </w:rPr>
        <w:t xml:space="preserve"> </w:t>
      </w:r>
    </w:p>
    <w:p w:rsidR="002A3426" w:rsidRPr="00D72F07" w:rsidRDefault="00A73CAC" w:rsidP="00D72F07">
      <w:pPr>
        <w:pStyle w:val="MELegal1"/>
        <w:keepNext/>
        <w:spacing w:before="120" w:after="120"/>
        <w:rPr>
          <w:rFonts w:asciiTheme="majorHAnsi" w:hAnsiTheme="majorHAnsi" w:cstheme="majorHAnsi"/>
          <w:b/>
          <w:sz w:val="20"/>
          <w:szCs w:val="20"/>
        </w:rPr>
      </w:pPr>
      <w:r w:rsidRPr="00D72F07">
        <w:rPr>
          <w:rFonts w:asciiTheme="majorHAnsi" w:hAnsiTheme="majorHAnsi" w:cstheme="majorHAnsi"/>
          <w:b/>
          <w:sz w:val="20"/>
          <w:szCs w:val="20"/>
        </w:rPr>
        <w:t>Jurisdictional Application Acts for National Electricity Law</w:t>
      </w:r>
    </w:p>
    <w:p w:rsidR="002A3426" w:rsidRDefault="00A73CAC">
      <w:pPr>
        <w:pStyle w:val="MELegal3"/>
        <w:rPr>
          <w:rFonts w:asciiTheme="majorHAnsi" w:hAnsiTheme="majorHAnsi" w:cstheme="majorHAnsi"/>
          <w:sz w:val="20"/>
          <w:szCs w:val="20"/>
        </w:rPr>
      </w:pPr>
      <w:r>
        <w:rPr>
          <w:rFonts w:asciiTheme="majorHAnsi" w:hAnsiTheme="majorHAnsi" w:cstheme="majorHAnsi"/>
          <w:sz w:val="20"/>
          <w:szCs w:val="20"/>
        </w:rPr>
        <w:t>Electricity (National Scheme) Act 1997 (ACT)</w:t>
      </w:r>
      <w:r>
        <w:rPr>
          <w:rStyle w:val="FootnoteReference"/>
          <w:rFonts w:asciiTheme="majorHAnsi" w:hAnsiTheme="majorHAnsi" w:cstheme="majorHAnsi"/>
          <w:sz w:val="20"/>
          <w:szCs w:val="20"/>
        </w:rPr>
        <w:footnoteReference w:id="8"/>
      </w:r>
      <w:r w:rsidR="00757799">
        <w:rPr>
          <w:rFonts w:asciiTheme="majorHAnsi" w:hAnsiTheme="majorHAnsi" w:cstheme="majorHAnsi"/>
          <w:sz w:val="20"/>
          <w:szCs w:val="20"/>
        </w:rPr>
        <w:t xml:space="preserve"> </w:t>
      </w:r>
    </w:p>
    <w:p w:rsidR="002A3426" w:rsidRDefault="00A73CAC">
      <w:pPr>
        <w:pStyle w:val="MELegal3"/>
        <w:rPr>
          <w:rFonts w:asciiTheme="majorHAnsi" w:hAnsiTheme="majorHAnsi" w:cstheme="majorHAnsi"/>
          <w:sz w:val="20"/>
          <w:szCs w:val="20"/>
        </w:rPr>
      </w:pPr>
      <w:r>
        <w:rPr>
          <w:rFonts w:asciiTheme="majorHAnsi" w:hAnsiTheme="majorHAnsi" w:cstheme="majorHAnsi"/>
          <w:sz w:val="20"/>
          <w:szCs w:val="20"/>
        </w:rPr>
        <w:t>National Electricity (New South Wales) Act 1997 (NSW)</w:t>
      </w:r>
      <w:r>
        <w:rPr>
          <w:rStyle w:val="FootnoteReference"/>
          <w:rFonts w:asciiTheme="majorHAnsi" w:hAnsiTheme="majorHAnsi" w:cstheme="majorHAnsi"/>
          <w:sz w:val="20"/>
          <w:szCs w:val="20"/>
        </w:rPr>
        <w:footnoteReference w:id="9"/>
      </w:r>
    </w:p>
    <w:p w:rsidR="002A3426" w:rsidRDefault="00A73CAC">
      <w:pPr>
        <w:pStyle w:val="MELegal3"/>
        <w:rPr>
          <w:rFonts w:asciiTheme="majorHAnsi" w:hAnsiTheme="majorHAnsi" w:cstheme="majorHAnsi"/>
          <w:sz w:val="20"/>
          <w:szCs w:val="20"/>
        </w:rPr>
      </w:pPr>
      <w:r>
        <w:rPr>
          <w:rFonts w:asciiTheme="majorHAnsi" w:hAnsiTheme="majorHAnsi" w:cstheme="majorHAnsi"/>
          <w:sz w:val="20"/>
          <w:szCs w:val="20"/>
        </w:rPr>
        <w:t>Electricity</w:t>
      </w:r>
      <w:r w:rsidR="00D11632">
        <w:rPr>
          <w:rFonts w:asciiTheme="majorHAnsi" w:hAnsiTheme="majorHAnsi" w:cstheme="majorHAnsi"/>
          <w:sz w:val="20"/>
          <w:szCs w:val="20"/>
        </w:rPr>
        <w:t xml:space="preserve"> - </w:t>
      </w:r>
      <w:r>
        <w:rPr>
          <w:rFonts w:asciiTheme="majorHAnsi" w:hAnsiTheme="majorHAnsi" w:cstheme="majorHAnsi"/>
          <w:sz w:val="20"/>
          <w:szCs w:val="20"/>
        </w:rPr>
        <w:t>National Scheme (Queensland) Act 1997</w:t>
      </w:r>
      <w:r>
        <w:rPr>
          <w:rStyle w:val="FootnoteReference"/>
          <w:rFonts w:asciiTheme="majorHAnsi" w:hAnsiTheme="majorHAnsi" w:cstheme="majorHAnsi"/>
          <w:sz w:val="20"/>
          <w:szCs w:val="20"/>
        </w:rPr>
        <w:footnoteReference w:id="10"/>
      </w:r>
    </w:p>
    <w:p w:rsidR="002A3426" w:rsidRDefault="00A73CAC">
      <w:pPr>
        <w:pStyle w:val="MELegal3"/>
        <w:rPr>
          <w:rFonts w:asciiTheme="majorHAnsi" w:hAnsiTheme="majorHAnsi" w:cstheme="majorHAnsi"/>
          <w:sz w:val="20"/>
          <w:szCs w:val="20"/>
        </w:rPr>
      </w:pPr>
      <w:r>
        <w:rPr>
          <w:rFonts w:asciiTheme="majorHAnsi" w:hAnsiTheme="majorHAnsi" w:cstheme="majorHAnsi"/>
          <w:sz w:val="20"/>
          <w:szCs w:val="20"/>
        </w:rPr>
        <w:t>Electricity - National Scheme (Tasmania) Act 1999 (</w:t>
      </w:r>
      <w:proofErr w:type="spellStart"/>
      <w:r>
        <w:rPr>
          <w:rFonts w:asciiTheme="majorHAnsi" w:hAnsiTheme="majorHAnsi" w:cstheme="majorHAnsi"/>
          <w:sz w:val="20"/>
          <w:szCs w:val="20"/>
        </w:rPr>
        <w:t>Tas</w:t>
      </w:r>
      <w:proofErr w:type="spellEnd"/>
      <w:r>
        <w:rPr>
          <w:rFonts w:asciiTheme="majorHAnsi" w:hAnsiTheme="majorHAnsi" w:cstheme="majorHAnsi"/>
          <w:sz w:val="20"/>
          <w:szCs w:val="20"/>
        </w:rPr>
        <w:t>)</w:t>
      </w:r>
      <w:r>
        <w:rPr>
          <w:rStyle w:val="FootnoteReference"/>
          <w:rFonts w:asciiTheme="majorHAnsi" w:hAnsiTheme="majorHAnsi" w:cstheme="majorHAnsi"/>
          <w:sz w:val="20"/>
          <w:szCs w:val="20"/>
        </w:rPr>
        <w:footnoteReference w:id="11"/>
      </w:r>
    </w:p>
    <w:p w:rsidR="002A3426" w:rsidRDefault="00A73CAC">
      <w:pPr>
        <w:pStyle w:val="MELegal3"/>
        <w:rPr>
          <w:rFonts w:asciiTheme="majorHAnsi" w:hAnsiTheme="majorHAnsi" w:cstheme="majorHAnsi"/>
          <w:sz w:val="20"/>
          <w:szCs w:val="20"/>
        </w:rPr>
      </w:pPr>
      <w:r>
        <w:rPr>
          <w:rFonts w:asciiTheme="majorHAnsi" w:hAnsiTheme="majorHAnsi" w:cstheme="majorHAnsi"/>
          <w:sz w:val="20"/>
          <w:szCs w:val="20"/>
        </w:rPr>
        <w:t>National Electricity (South Australia) Act 1996 (SA)</w:t>
      </w:r>
      <w:r>
        <w:rPr>
          <w:rStyle w:val="FootnoteReference"/>
          <w:rFonts w:asciiTheme="majorHAnsi" w:hAnsiTheme="majorHAnsi" w:cstheme="majorHAnsi"/>
          <w:sz w:val="20"/>
          <w:szCs w:val="20"/>
        </w:rPr>
        <w:footnoteReference w:id="12"/>
      </w:r>
    </w:p>
    <w:p w:rsidR="002A3426" w:rsidRDefault="00A73CAC">
      <w:pPr>
        <w:pStyle w:val="MELegal3"/>
        <w:rPr>
          <w:rFonts w:asciiTheme="majorHAnsi" w:hAnsiTheme="majorHAnsi" w:cstheme="majorHAnsi"/>
          <w:sz w:val="20"/>
          <w:szCs w:val="20"/>
        </w:rPr>
      </w:pPr>
      <w:r>
        <w:rPr>
          <w:rFonts w:asciiTheme="majorHAnsi" w:hAnsiTheme="majorHAnsi" w:cstheme="majorHAnsi"/>
          <w:sz w:val="20"/>
          <w:szCs w:val="20"/>
        </w:rPr>
        <w:t>National Electricity (Victoria) Act 2005 (Vic)</w:t>
      </w:r>
    </w:p>
    <w:p w:rsidR="002A3426" w:rsidRDefault="00A73CAC">
      <w:pPr>
        <w:pStyle w:val="MELegal1"/>
        <w:keepNext/>
        <w:spacing w:before="120" w:after="120"/>
        <w:rPr>
          <w:rFonts w:asciiTheme="majorHAnsi" w:hAnsiTheme="majorHAnsi" w:cstheme="majorHAnsi"/>
          <w:b/>
          <w:sz w:val="20"/>
          <w:szCs w:val="20"/>
        </w:rPr>
      </w:pPr>
      <w:r>
        <w:rPr>
          <w:rFonts w:asciiTheme="majorHAnsi" w:hAnsiTheme="majorHAnsi" w:cstheme="majorHAnsi"/>
          <w:b/>
          <w:sz w:val="20"/>
          <w:szCs w:val="20"/>
        </w:rPr>
        <w:t>Jurisdictional Application Acts and Regulations for National Energy Retail Law</w:t>
      </w:r>
    </w:p>
    <w:p w:rsidR="002A3426" w:rsidRDefault="00A73CAC">
      <w:pPr>
        <w:pStyle w:val="MELegal3"/>
        <w:rPr>
          <w:rFonts w:asciiTheme="majorHAnsi" w:hAnsiTheme="majorHAnsi" w:cstheme="majorHAnsi"/>
          <w:sz w:val="20"/>
          <w:szCs w:val="20"/>
        </w:rPr>
      </w:pPr>
      <w:r>
        <w:rPr>
          <w:rFonts w:asciiTheme="majorHAnsi" w:hAnsiTheme="majorHAnsi" w:cstheme="majorHAnsi"/>
          <w:sz w:val="20"/>
          <w:szCs w:val="20"/>
        </w:rPr>
        <w:t>National Energy Retail Law (ACT) Act 2012 (ACT)</w:t>
      </w:r>
      <w:r w:rsidR="00ED68B5">
        <w:rPr>
          <w:rFonts w:asciiTheme="majorHAnsi" w:hAnsiTheme="majorHAnsi" w:cstheme="majorHAnsi"/>
          <w:sz w:val="20"/>
          <w:szCs w:val="20"/>
        </w:rPr>
        <w:t xml:space="preserve"> </w:t>
      </w:r>
      <w:r>
        <w:rPr>
          <w:rFonts w:asciiTheme="majorHAnsi" w:hAnsiTheme="majorHAnsi" w:cstheme="majorHAnsi"/>
          <w:sz w:val="20"/>
          <w:szCs w:val="20"/>
        </w:rPr>
        <w:t>and National Energy Retail Law (ACT) Regulation 2012 (ACT)</w:t>
      </w:r>
    </w:p>
    <w:p w:rsidR="002A3426" w:rsidRDefault="00A73CAC">
      <w:pPr>
        <w:pStyle w:val="MELegal3"/>
        <w:rPr>
          <w:rFonts w:asciiTheme="majorHAnsi" w:hAnsiTheme="majorHAnsi" w:cstheme="majorHAnsi"/>
          <w:sz w:val="20"/>
          <w:szCs w:val="20"/>
        </w:rPr>
      </w:pPr>
      <w:r>
        <w:rPr>
          <w:rFonts w:asciiTheme="majorHAnsi" w:hAnsiTheme="majorHAnsi" w:cstheme="majorHAnsi"/>
          <w:sz w:val="20"/>
          <w:szCs w:val="20"/>
        </w:rPr>
        <w:t>National Energy Retail Law (Adoption) Act 2012 (NSW) and National Energy Retail Law (Adoption) Regulation 2013 (NSW)</w:t>
      </w:r>
      <w:r w:rsidR="004733D7" w:rsidRPr="004733D7">
        <w:rPr>
          <w:rFonts w:asciiTheme="majorHAnsi" w:hAnsiTheme="majorHAnsi" w:cstheme="majorHAnsi"/>
          <w:sz w:val="20"/>
          <w:szCs w:val="20"/>
        </w:rPr>
        <w:t xml:space="preserve"> </w:t>
      </w:r>
    </w:p>
    <w:p w:rsidR="002A3426" w:rsidRDefault="00A73CAC">
      <w:pPr>
        <w:pStyle w:val="MELegal3"/>
        <w:rPr>
          <w:rFonts w:asciiTheme="majorHAnsi" w:hAnsiTheme="majorHAnsi" w:cstheme="majorHAnsi"/>
          <w:sz w:val="20"/>
          <w:szCs w:val="20"/>
        </w:rPr>
      </w:pPr>
      <w:r>
        <w:rPr>
          <w:rFonts w:asciiTheme="majorHAnsi" w:hAnsiTheme="majorHAnsi" w:cstheme="majorHAnsi"/>
          <w:sz w:val="20"/>
          <w:szCs w:val="20"/>
        </w:rPr>
        <w:lastRenderedPageBreak/>
        <w:t>National Energy Retail Law (Queensland) Act 2014 (Qld) and</w:t>
      </w:r>
      <w:r>
        <w:rPr>
          <w:rFonts w:asciiTheme="majorHAnsi" w:hAnsiTheme="majorHAnsi" w:cstheme="majorHAnsi"/>
          <w:sz w:val="20"/>
          <w:szCs w:val="20"/>
        </w:rPr>
        <w:br/>
        <w:t>National Energy Retail Law (Queensland) Regulation 2014 (Qld)</w:t>
      </w:r>
      <w:r w:rsidR="004733D7">
        <w:rPr>
          <w:rFonts w:asciiTheme="majorHAnsi" w:hAnsiTheme="majorHAnsi" w:cstheme="majorHAnsi"/>
          <w:sz w:val="20"/>
          <w:szCs w:val="20"/>
        </w:rPr>
        <w:t xml:space="preserve"> </w:t>
      </w:r>
    </w:p>
    <w:p w:rsidR="002A3426" w:rsidRDefault="00A73CAC">
      <w:pPr>
        <w:pStyle w:val="MELegal3"/>
        <w:rPr>
          <w:rFonts w:asciiTheme="majorHAnsi" w:hAnsiTheme="majorHAnsi" w:cstheme="majorHAnsi"/>
          <w:sz w:val="20"/>
          <w:szCs w:val="20"/>
        </w:rPr>
      </w:pPr>
      <w:r>
        <w:rPr>
          <w:rFonts w:asciiTheme="majorHAnsi" w:hAnsiTheme="majorHAnsi" w:cstheme="majorHAnsi"/>
          <w:sz w:val="20"/>
          <w:szCs w:val="20"/>
        </w:rPr>
        <w:t xml:space="preserve">National Energy Retail Law (South Australia) Act 2011 and </w:t>
      </w:r>
      <w:hyperlink r:id="rId14" w:tgtFrame="default" w:history="1">
        <w:r>
          <w:rPr>
            <w:rFonts w:asciiTheme="majorHAnsi" w:hAnsiTheme="majorHAnsi" w:cstheme="majorHAnsi"/>
            <w:sz w:val="20"/>
            <w:szCs w:val="20"/>
          </w:rPr>
          <w:t xml:space="preserve">National Energy Retail Law (Local Provisions) Regulations 2013 (SA) </w:t>
        </w:r>
      </w:hyperlink>
    </w:p>
    <w:p w:rsidR="002A3426" w:rsidRDefault="00A73CAC">
      <w:pPr>
        <w:pStyle w:val="MELegal3"/>
        <w:rPr>
          <w:rFonts w:asciiTheme="majorHAnsi" w:hAnsiTheme="majorHAnsi" w:cstheme="majorHAnsi"/>
          <w:sz w:val="20"/>
          <w:szCs w:val="20"/>
        </w:rPr>
      </w:pPr>
      <w:r>
        <w:rPr>
          <w:rFonts w:asciiTheme="majorHAnsi" w:hAnsiTheme="majorHAnsi" w:cstheme="majorHAnsi"/>
          <w:sz w:val="20"/>
          <w:szCs w:val="20"/>
        </w:rPr>
        <w:t>National Energy Retail Law (Tasmania) Act 2012 (</w:t>
      </w:r>
      <w:proofErr w:type="spellStart"/>
      <w:r>
        <w:rPr>
          <w:rFonts w:asciiTheme="majorHAnsi" w:hAnsiTheme="majorHAnsi" w:cstheme="majorHAnsi"/>
          <w:sz w:val="20"/>
          <w:szCs w:val="20"/>
        </w:rPr>
        <w:t>Tas</w:t>
      </w:r>
      <w:proofErr w:type="spellEnd"/>
      <w:r>
        <w:rPr>
          <w:rFonts w:asciiTheme="majorHAnsi" w:hAnsiTheme="majorHAnsi" w:cstheme="majorHAnsi"/>
          <w:sz w:val="20"/>
          <w:szCs w:val="20"/>
        </w:rPr>
        <w:t>) and National Energy Retail Law (Tasmania) Regulations 2012 (</w:t>
      </w:r>
      <w:proofErr w:type="spellStart"/>
      <w:r>
        <w:rPr>
          <w:rFonts w:asciiTheme="majorHAnsi" w:hAnsiTheme="majorHAnsi" w:cstheme="majorHAnsi"/>
          <w:sz w:val="20"/>
          <w:szCs w:val="20"/>
        </w:rPr>
        <w:t>Tas</w:t>
      </w:r>
      <w:proofErr w:type="spellEnd"/>
      <w:r>
        <w:rPr>
          <w:rFonts w:asciiTheme="majorHAnsi" w:hAnsiTheme="majorHAnsi" w:cstheme="majorHAnsi"/>
          <w:sz w:val="20"/>
          <w:szCs w:val="20"/>
        </w:rPr>
        <w:t>)</w:t>
      </w:r>
    </w:p>
    <w:p w:rsidR="002A3426" w:rsidRDefault="00A73CAC">
      <w:pPr>
        <w:pStyle w:val="MELegal1"/>
        <w:keepNext/>
        <w:spacing w:before="120" w:after="120"/>
        <w:rPr>
          <w:rFonts w:asciiTheme="majorHAnsi" w:hAnsiTheme="majorHAnsi" w:cstheme="majorHAnsi"/>
          <w:b/>
          <w:sz w:val="20"/>
          <w:szCs w:val="20"/>
        </w:rPr>
      </w:pPr>
      <w:r>
        <w:rPr>
          <w:rFonts w:asciiTheme="majorHAnsi" w:hAnsiTheme="majorHAnsi" w:cstheme="majorHAnsi"/>
          <w:b/>
          <w:sz w:val="20"/>
          <w:szCs w:val="20"/>
        </w:rPr>
        <w:t>Jurisdictional Application Acts for National Gas Law</w:t>
      </w:r>
    </w:p>
    <w:p w:rsidR="002A3426" w:rsidRDefault="00A73CAC">
      <w:pPr>
        <w:pStyle w:val="MELegal3"/>
        <w:rPr>
          <w:rStyle w:val="style31"/>
          <w:rFonts w:asciiTheme="majorHAnsi" w:hAnsiTheme="majorHAnsi" w:cstheme="majorHAnsi"/>
          <w:sz w:val="20"/>
          <w:szCs w:val="20"/>
        </w:rPr>
      </w:pPr>
      <w:r>
        <w:rPr>
          <w:rStyle w:val="style31"/>
          <w:rFonts w:asciiTheme="majorHAnsi" w:hAnsiTheme="majorHAnsi" w:cstheme="majorHAnsi"/>
          <w:bCs/>
          <w:sz w:val="20"/>
          <w:szCs w:val="20"/>
        </w:rPr>
        <w:t>National Gas (ACT) Act 2008 (ACT)</w:t>
      </w:r>
      <w:r>
        <w:rPr>
          <w:rStyle w:val="FootnoteReference"/>
          <w:rFonts w:asciiTheme="majorHAnsi" w:hAnsiTheme="majorHAnsi" w:cstheme="majorHAnsi"/>
          <w:bCs/>
          <w:sz w:val="20"/>
          <w:szCs w:val="20"/>
        </w:rPr>
        <w:footnoteReference w:id="13"/>
      </w:r>
    </w:p>
    <w:p w:rsidR="002A3426" w:rsidRDefault="00A73CAC">
      <w:pPr>
        <w:pStyle w:val="MELegal3"/>
        <w:rPr>
          <w:rFonts w:asciiTheme="majorHAnsi" w:hAnsiTheme="majorHAnsi" w:cstheme="majorHAnsi"/>
          <w:sz w:val="20"/>
          <w:szCs w:val="20"/>
        </w:rPr>
      </w:pPr>
      <w:r>
        <w:rPr>
          <w:rFonts w:asciiTheme="majorHAnsi" w:hAnsiTheme="majorHAnsi" w:cstheme="majorHAnsi"/>
          <w:sz w:val="20"/>
          <w:szCs w:val="20"/>
        </w:rPr>
        <w:t>National Gas (New South Wales) Act 2008 (NSW)</w:t>
      </w:r>
      <w:r>
        <w:rPr>
          <w:rStyle w:val="FootnoteReference"/>
          <w:rFonts w:asciiTheme="majorHAnsi" w:hAnsiTheme="majorHAnsi" w:cstheme="majorHAnsi"/>
          <w:sz w:val="20"/>
          <w:szCs w:val="20"/>
        </w:rPr>
        <w:footnoteReference w:id="14"/>
      </w:r>
      <w:r>
        <w:rPr>
          <w:rFonts w:asciiTheme="majorHAnsi" w:hAnsiTheme="majorHAnsi" w:cstheme="majorHAnsi"/>
          <w:sz w:val="20"/>
          <w:szCs w:val="20"/>
        </w:rPr>
        <w:t xml:space="preserve"> </w:t>
      </w:r>
    </w:p>
    <w:p w:rsidR="002A3426" w:rsidRDefault="00A73CAC">
      <w:pPr>
        <w:pStyle w:val="MELegal3"/>
        <w:rPr>
          <w:rFonts w:asciiTheme="majorHAnsi" w:hAnsiTheme="majorHAnsi" w:cstheme="majorHAnsi"/>
          <w:sz w:val="20"/>
          <w:szCs w:val="20"/>
        </w:rPr>
      </w:pPr>
      <w:r>
        <w:rPr>
          <w:rFonts w:asciiTheme="majorHAnsi" w:hAnsiTheme="majorHAnsi" w:cstheme="majorHAnsi"/>
          <w:sz w:val="20"/>
          <w:szCs w:val="20"/>
        </w:rPr>
        <w:t xml:space="preserve">National Gas (South Australia) Act 2008 (SA) </w:t>
      </w:r>
    </w:p>
    <w:p w:rsidR="002A3426" w:rsidRDefault="00A73CAC">
      <w:pPr>
        <w:pStyle w:val="MELegal3"/>
        <w:rPr>
          <w:rFonts w:asciiTheme="majorHAnsi" w:hAnsiTheme="majorHAnsi" w:cstheme="majorHAnsi"/>
          <w:sz w:val="20"/>
          <w:szCs w:val="20"/>
        </w:rPr>
      </w:pPr>
      <w:r>
        <w:rPr>
          <w:rFonts w:asciiTheme="majorHAnsi" w:hAnsiTheme="majorHAnsi" w:cstheme="majorHAnsi"/>
          <w:sz w:val="20"/>
          <w:szCs w:val="20"/>
        </w:rPr>
        <w:t>National Gas (Tasmania) Act 2008 (</w:t>
      </w:r>
      <w:proofErr w:type="spellStart"/>
      <w:r>
        <w:rPr>
          <w:rFonts w:asciiTheme="majorHAnsi" w:hAnsiTheme="majorHAnsi" w:cstheme="majorHAnsi"/>
          <w:sz w:val="20"/>
          <w:szCs w:val="20"/>
        </w:rPr>
        <w:t>Tas</w:t>
      </w:r>
      <w:proofErr w:type="spellEnd"/>
      <w:r>
        <w:rPr>
          <w:rFonts w:asciiTheme="majorHAnsi" w:hAnsiTheme="majorHAnsi" w:cstheme="majorHAnsi"/>
          <w:sz w:val="20"/>
          <w:szCs w:val="20"/>
        </w:rPr>
        <w:t>)</w:t>
      </w:r>
      <w:r>
        <w:rPr>
          <w:rStyle w:val="FootnoteReference"/>
          <w:rFonts w:asciiTheme="majorHAnsi" w:hAnsiTheme="majorHAnsi" w:cstheme="majorHAnsi"/>
          <w:sz w:val="20"/>
          <w:szCs w:val="20"/>
        </w:rPr>
        <w:footnoteReference w:id="15"/>
      </w:r>
    </w:p>
    <w:p w:rsidR="002A3426" w:rsidRDefault="00A73CAC">
      <w:pPr>
        <w:pStyle w:val="MELegal3"/>
        <w:rPr>
          <w:rFonts w:asciiTheme="majorHAnsi" w:hAnsiTheme="majorHAnsi" w:cstheme="majorHAnsi"/>
          <w:sz w:val="20"/>
          <w:szCs w:val="20"/>
        </w:rPr>
      </w:pPr>
      <w:r>
        <w:rPr>
          <w:rFonts w:asciiTheme="majorHAnsi" w:hAnsiTheme="majorHAnsi" w:cstheme="majorHAnsi"/>
          <w:sz w:val="20"/>
          <w:szCs w:val="20"/>
        </w:rPr>
        <w:t>National Gas (Queensland) Act 2008 (Qld)</w:t>
      </w:r>
      <w:r>
        <w:rPr>
          <w:rStyle w:val="FootnoteReference"/>
          <w:rFonts w:asciiTheme="majorHAnsi" w:hAnsiTheme="majorHAnsi" w:cstheme="majorHAnsi"/>
          <w:sz w:val="20"/>
          <w:szCs w:val="20"/>
        </w:rPr>
        <w:footnoteReference w:id="16"/>
      </w:r>
      <w:r>
        <w:rPr>
          <w:rFonts w:asciiTheme="majorHAnsi" w:hAnsiTheme="majorHAnsi" w:cstheme="majorHAnsi"/>
          <w:sz w:val="20"/>
          <w:szCs w:val="20"/>
        </w:rPr>
        <w:t xml:space="preserve"> </w:t>
      </w:r>
    </w:p>
    <w:p w:rsidR="002A3426" w:rsidRDefault="00A73CAC">
      <w:pPr>
        <w:pStyle w:val="MELegal1"/>
        <w:keepNext/>
        <w:spacing w:before="120" w:after="120"/>
        <w:rPr>
          <w:rFonts w:asciiTheme="majorHAnsi" w:hAnsiTheme="majorHAnsi" w:cstheme="majorHAnsi"/>
          <w:b/>
          <w:sz w:val="20"/>
          <w:szCs w:val="20"/>
        </w:rPr>
      </w:pPr>
      <w:r>
        <w:rPr>
          <w:rFonts w:asciiTheme="majorHAnsi" w:hAnsiTheme="majorHAnsi" w:cstheme="majorHAnsi"/>
          <w:b/>
          <w:sz w:val="20"/>
          <w:szCs w:val="20"/>
        </w:rPr>
        <w:t>Jurisdictional Electricity Legislation</w:t>
      </w:r>
      <w:r>
        <w:rPr>
          <w:rStyle w:val="FootnoteReference"/>
          <w:rFonts w:asciiTheme="majorHAnsi" w:hAnsiTheme="majorHAnsi" w:cstheme="majorHAnsi"/>
          <w:b/>
          <w:sz w:val="20"/>
          <w:szCs w:val="20"/>
        </w:rPr>
        <w:footnoteReference w:id="17"/>
      </w:r>
    </w:p>
    <w:p w:rsidR="002A3426" w:rsidRDefault="00A73CAC">
      <w:pPr>
        <w:pStyle w:val="MELegal3"/>
        <w:rPr>
          <w:rFonts w:asciiTheme="majorHAnsi" w:hAnsiTheme="majorHAnsi" w:cstheme="majorHAnsi"/>
          <w:sz w:val="20"/>
          <w:szCs w:val="20"/>
        </w:rPr>
      </w:pPr>
      <w:r>
        <w:rPr>
          <w:rFonts w:asciiTheme="majorHAnsi" w:hAnsiTheme="majorHAnsi" w:cstheme="majorHAnsi"/>
          <w:sz w:val="20"/>
          <w:szCs w:val="20"/>
        </w:rPr>
        <w:t>Utilities Act 2000 (ACT)</w:t>
      </w:r>
      <w:r w:rsidR="00A46691">
        <w:rPr>
          <w:rFonts w:asciiTheme="majorHAnsi" w:hAnsiTheme="majorHAnsi" w:cstheme="majorHAnsi"/>
          <w:sz w:val="20"/>
          <w:szCs w:val="20"/>
        </w:rPr>
        <w:t>;</w:t>
      </w:r>
      <w:r>
        <w:rPr>
          <w:rFonts w:asciiTheme="majorHAnsi" w:hAnsiTheme="majorHAnsi" w:cstheme="majorHAnsi"/>
          <w:sz w:val="20"/>
          <w:szCs w:val="20"/>
        </w:rPr>
        <w:t>Utility Networks (Public Safety) Regulation 2001 (ACT)</w:t>
      </w:r>
      <w:r w:rsidR="007429E5">
        <w:rPr>
          <w:rFonts w:asciiTheme="majorHAnsi" w:hAnsiTheme="majorHAnsi" w:cstheme="majorHAnsi"/>
          <w:sz w:val="20"/>
          <w:szCs w:val="20"/>
        </w:rPr>
        <w:t xml:space="preserve"> and</w:t>
      </w:r>
      <w:r w:rsidR="00A46691">
        <w:rPr>
          <w:rFonts w:asciiTheme="majorHAnsi" w:hAnsiTheme="majorHAnsi" w:cstheme="majorHAnsi"/>
          <w:sz w:val="20"/>
          <w:szCs w:val="20"/>
        </w:rPr>
        <w:t xml:space="preserve"> </w:t>
      </w:r>
      <w:r w:rsidR="00EB6EE7" w:rsidRPr="00AC34E4">
        <w:rPr>
          <w:rFonts w:asciiTheme="majorHAnsi" w:hAnsiTheme="majorHAnsi" w:cstheme="majorHAnsi"/>
          <w:sz w:val="20"/>
          <w:szCs w:val="20"/>
        </w:rPr>
        <w:t>Utilities (General) Regulation 2017</w:t>
      </w:r>
      <w:r w:rsidR="007429E5">
        <w:rPr>
          <w:rFonts w:asciiTheme="majorHAnsi" w:hAnsiTheme="majorHAnsi" w:cstheme="majorHAnsi"/>
          <w:sz w:val="20"/>
          <w:szCs w:val="20"/>
        </w:rPr>
        <w:t xml:space="preserve"> (ACT)</w:t>
      </w:r>
    </w:p>
    <w:p w:rsidR="002A3426" w:rsidRDefault="00A73CAC">
      <w:pPr>
        <w:pStyle w:val="MELegal3"/>
        <w:rPr>
          <w:rFonts w:asciiTheme="majorHAnsi" w:hAnsiTheme="majorHAnsi" w:cstheme="majorHAnsi"/>
          <w:sz w:val="20"/>
          <w:szCs w:val="20"/>
        </w:rPr>
      </w:pPr>
      <w:r>
        <w:rPr>
          <w:rFonts w:asciiTheme="majorHAnsi" w:hAnsiTheme="majorHAnsi" w:cstheme="majorHAnsi"/>
          <w:sz w:val="20"/>
          <w:szCs w:val="20"/>
        </w:rPr>
        <w:t xml:space="preserve">Electricity Supply Act 1995 (NSW); Electricity Supply (General) Regulation </w:t>
      </w:r>
      <w:r w:rsidR="002C306E">
        <w:rPr>
          <w:rFonts w:asciiTheme="majorHAnsi" w:hAnsiTheme="majorHAnsi" w:cstheme="majorHAnsi"/>
          <w:sz w:val="20"/>
          <w:szCs w:val="20"/>
        </w:rPr>
        <w:t xml:space="preserve">2014 </w:t>
      </w:r>
      <w:r>
        <w:rPr>
          <w:rFonts w:asciiTheme="majorHAnsi" w:hAnsiTheme="majorHAnsi" w:cstheme="majorHAnsi"/>
          <w:sz w:val="20"/>
          <w:szCs w:val="20"/>
        </w:rPr>
        <w:t>(NSW) and Electricity Supply (Safety and Network Management) Regulation 2014 (NSW)</w:t>
      </w:r>
    </w:p>
    <w:p w:rsidR="002A3426" w:rsidRDefault="00A73CAC">
      <w:pPr>
        <w:pStyle w:val="MELegal3"/>
        <w:rPr>
          <w:rFonts w:asciiTheme="majorHAnsi" w:hAnsiTheme="majorHAnsi" w:cstheme="majorHAnsi"/>
          <w:sz w:val="20"/>
          <w:szCs w:val="20"/>
        </w:rPr>
      </w:pPr>
      <w:r>
        <w:rPr>
          <w:rFonts w:asciiTheme="majorHAnsi" w:hAnsiTheme="majorHAnsi" w:cstheme="majorHAnsi"/>
          <w:sz w:val="20"/>
          <w:szCs w:val="20"/>
        </w:rPr>
        <w:lastRenderedPageBreak/>
        <w:t>Electricity Act 1994 (Qld); Electrical Safety Act 2002 (Qld), Electrical Safety Regulation 2013 (Qld) and Electricity Regulation 2006 (Qld)</w:t>
      </w:r>
    </w:p>
    <w:p w:rsidR="002A3426" w:rsidRDefault="00A73CAC">
      <w:pPr>
        <w:pStyle w:val="MELegal3"/>
        <w:rPr>
          <w:rFonts w:asciiTheme="majorHAnsi" w:hAnsiTheme="majorHAnsi" w:cstheme="majorHAnsi"/>
          <w:sz w:val="20"/>
          <w:szCs w:val="20"/>
        </w:rPr>
      </w:pPr>
      <w:r>
        <w:rPr>
          <w:rFonts w:asciiTheme="majorHAnsi" w:hAnsiTheme="majorHAnsi" w:cstheme="majorHAnsi"/>
          <w:sz w:val="20"/>
          <w:szCs w:val="20"/>
        </w:rPr>
        <w:t>Electricity Act 1996 (SA) and Electricity (General) Regulations 2012 (SA)</w:t>
      </w:r>
    </w:p>
    <w:p w:rsidR="00A8183E" w:rsidRPr="00294674" w:rsidRDefault="00A73CAC">
      <w:pPr>
        <w:pStyle w:val="MELegal3"/>
      </w:pPr>
      <w:r>
        <w:rPr>
          <w:rStyle w:val="style31"/>
          <w:rFonts w:asciiTheme="majorHAnsi" w:hAnsiTheme="majorHAnsi" w:cstheme="majorHAnsi"/>
          <w:bCs/>
          <w:sz w:val="20"/>
          <w:szCs w:val="20"/>
        </w:rPr>
        <w:t>Electricity Supply Industry Act 1995 (</w:t>
      </w:r>
      <w:proofErr w:type="spellStart"/>
      <w:r>
        <w:rPr>
          <w:rStyle w:val="style31"/>
          <w:rFonts w:asciiTheme="majorHAnsi" w:hAnsiTheme="majorHAnsi" w:cstheme="majorHAnsi"/>
          <w:bCs/>
          <w:sz w:val="20"/>
          <w:szCs w:val="20"/>
        </w:rPr>
        <w:t>Tas</w:t>
      </w:r>
      <w:proofErr w:type="spellEnd"/>
      <w:r>
        <w:rPr>
          <w:rStyle w:val="style31"/>
          <w:rFonts w:asciiTheme="majorHAnsi" w:hAnsiTheme="majorHAnsi" w:cstheme="majorHAnsi"/>
          <w:bCs/>
          <w:sz w:val="20"/>
          <w:szCs w:val="20"/>
        </w:rPr>
        <w:t>); Electricity Supply Industry (Customer) Regulations 2012 (</w:t>
      </w:r>
      <w:proofErr w:type="spellStart"/>
      <w:r>
        <w:rPr>
          <w:rStyle w:val="style31"/>
          <w:rFonts w:asciiTheme="majorHAnsi" w:hAnsiTheme="majorHAnsi" w:cstheme="majorHAnsi"/>
          <w:bCs/>
          <w:sz w:val="20"/>
          <w:szCs w:val="20"/>
        </w:rPr>
        <w:t>Tas</w:t>
      </w:r>
      <w:proofErr w:type="spellEnd"/>
      <w:r>
        <w:rPr>
          <w:rStyle w:val="style31"/>
          <w:rFonts w:asciiTheme="majorHAnsi" w:hAnsiTheme="majorHAnsi" w:cstheme="majorHAnsi"/>
          <w:bCs/>
          <w:sz w:val="20"/>
          <w:szCs w:val="20"/>
        </w:rPr>
        <w:t xml:space="preserve">); Electricity Supply Industry (Network Planning Requirements) Regulations </w:t>
      </w:r>
      <w:r w:rsidR="00FD1B8A">
        <w:rPr>
          <w:rStyle w:val="style31"/>
          <w:rFonts w:asciiTheme="majorHAnsi" w:hAnsiTheme="majorHAnsi" w:cstheme="majorHAnsi"/>
          <w:bCs/>
          <w:sz w:val="20"/>
          <w:szCs w:val="20"/>
        </w:rPr>
        <w:t>2018</w:t>
      </w:r>
      <w:r>
        <w:rPr>
          <w:rStyle w:val="style31"/>
          <w:rFonts w:asciiTheme="majorHAnsi" w:hAnsiTheme="majorHAnsi" w:cstheme="majorHAnsi"/>
          <w:bCs/>
          <w:sz w:val="20"/>
          <w:szCs w:val="20"/>
        </w:rPr>
        <w:t>; Electricity Supply Industry (Pricing and Related Matters) Regulations 2013 (</w:t>
      </w:r>
      <w:proofErr w:type="spellStart"/>
      <w:r>
        <w:rPr>
          <w:rStyle w:val="style31"/>
          <w:rFonts w:asciiTheme="majorHAnsi" w:hAnsiTheme="majorHAnsi" w:cstheme="majorHAnsi"/>
          <w:bCs/>
          <w:sz w:val="20"/>
          <w:szCs w:val="20"/>
        </w:rPr>
        <w:t>Tas</w:t>
      </w:r>
      <w:proofErr w:type="spellEnd"/>
      <w:r>
        <w:rPr>
          <w:rStyle w:val="style31"/>
          <w:rFonts w:asciiTheme="majorHAnsi" w:hAnsiTheme="majorHAnsi" w:cstheme="majorHAnsi"/>
          <w:bCs/>
          <w:sz w:val="20"/>
          <w:szCs w:val="20"/>
        </w:rPr>
        <w:t xml:space="preserve">) and Electricity Supply Industry Regulations </w:t>
      </w:r>
      <w:r w:rsidR="00FD1B8A">
        <w:rPr>
          <w:rStyle w:val="style31"/>
          <w:rFonts w:asciiTheme="majorHAnsi" w:hAnsiTheme="majorHAnsi" w:cstheme="majorHAnsi"/>
          <w:bCs/>
          <w:sz w:val="20"/>
          <w:szCs w:val="20"/>
        </w:rPr>
        <w:t xml:space="preserve">2018 </w:t>
      </w:r>
      <w:r>
        <w:rPr>
          <w:rStyle w:val="style31"/>
          <w:rFonts w:asciiTheme="majorHAnsi" w:hAnsiTheme="majorHAnsi" w:cstheme="majorHAnsi"/>
          <w:bCs/>
          <w:sz w:val="20"/>
          <w:szCs w:val="20"/>
        </w:rPr>
        <w:t>(</w:t>
      </w:r>
      <w:proofErr w:type="spellStart"/>
      <w:r>
        <w:rPr>
          <w:rStyle w:val="style31"/>
          <w:rFonts w:asciiTheme="majorHAnsi" w:hAnsiTheme="majorHAnsi" w:cstheme="majorHAnsi"/>
          <w:bCs/>
          <w:sz w:val="20"/>
          <w:szCs w:val="20"/>
        </w:rPr>
        <w:t>Tas</w:t>
      </w:r>
      <w:proofErr w:type="spellEnd"/>
      <w:r>
        <w:rPr>
          <w:rStyle w:val="style31"/>
          <w:rFonts w:asciiTheme="majorHAnsi" w:hAnsiTheme="majorHAnsi" w:cstheme="majorHAnsi"/>
          <w:bCs/>
          <w:sz w:val="20"/>
          <w:szCs w:val="20"/>
        </w:rPr>
        <w:t>)</w:t>
      </w:r>
    </w:p>
    <w:p w:rsidR="002A3426" w:rsidRDefault="00A73CAC">
      <w:pPr>
        <w:pStyle w:val="MELegal1"/>
        <w:keepNext/>
        <w:spacing w:before="120" w:after="120"/>
        <w:rPr>
          <w:rFonts w:asciiTheme="majorHAnsi" w:hAnsiTheme="majorHAnsi" w:cstheme="majorHAnsi"/>
          <w:b/>
          <w:sz w:val="20"/>
          <w:szCs w:val="20"/>
        </w:rPr>
      </w:pPr>
      <w:r>
        <w:rPr>
          <w:rFonts w:asciiTheme="majorHAnsi" w:hAnsiTheme="majorHAnsi" w:cstheme="majorHAnsi"/>
          <w:b/>
          <w:sz w:val="20"/>
          <w:szCs w:val="20"/>
        </w:rPr>
        <w:t>Jurisdictional Gas Legislation</w:t>
      </w:r>
      <w:r>
        <w:rPr>
          <w:rStyle w:val="FootnoteReference"/>
          <w:rFonts w:asciiTheme="majorHAnsi" w:hAnsiTheme="majorHAnsi" w:cstheme="majorHAnsi"/>
          <w:b/>
          <w:sz w:val="20"/>
          <w:szCs w:val="20"/>
        </w:rPr>
        <w:footnoteReference w:id="18"/>
      </w:r>
      <w:r>
        <w:rPr>
          <w:rFonts w:asciiTheme="majorHAnsi" w:hAnsiTheme="majorHAnsi" w:cstheme="majorHAnsi"/>
          <w:b/>
          <w:sz w:val="20"/>
          <w:szCs w:val="20"/>
        </w:rPr>
        <w:t xml:space="preserve"> </w:t>
      </w:r>
    </w:p>
    <w:p w:rsidR="002A3426" w:rsidRDefault="00A73CAC">
      <w:pPr>
        <w:pStyle w:val="MELegal3"/>
        <w:keepNext/>
        <w:rPr>
          <w:rFonts w:asciiTheme="majorHAnsi" w:hAnsiTheme="majorHAnsi" w:cstheme="majorHAnsi"/>
          <w:sz w:val="20"/>
          <w:szCs w:val="20"/>
        </w:rPr>
      </w:pPr>
      <w:r>
        <w:rPr>
          <w:rFonts w:asciiTheme="majorHAnsi" w:hAnsiTheme="majorHAnsi" w:cstheme="majorHAnsi"/>
          <w:sz w:val="20"/>
          <w:szCs w:val="20"/>
        </w:rPr>
        <w:t>Utilities Act 2000 (ACT)</w:t>
      </w:r>
      <w:r w:rsidR="007429E5">
        <w:rPr>
          <w:rFonts w:asciiTheme="majorHAnsi" w:hAnsiTheme="majorHAnsi" w:cstheme="majorHAnsi"/>
          <w:sz w:val="20"/>
          <w:szCs w:val="20"/>
        </w:rPr>
        <w:t xml:space="preserve">; </w:t>
      </w:r>
      <w:r>
        <w:rPr>
          <w:rFonts w:asciiTheme="majorHAnsi" w:hAnsiTheme="majorHAnsi" w:cstheme="majorHAnsi"/>
          <w:sz w:val="20"/>
          <w:szCs w:val="20"/>
        </w:rPr>
        <w:t>Utility Networks (Public Safety) Regulation 2001 (ACT)</w:t>
      </w:r>
      <w:r w:rsidR="007429E5">
        <w:rPr>
          <w:rFonts w:asciiTheme="majorHAnsi" w:hAnsiTheme="majorHAnsi" w:cstheme="majorHAnsi"/>
          <w:sz w:val="20"/>
          <w:szCs w:val="20"/>
        </w:rPr>
        <w:t xml:space="preserve"> and</w:t>
      </w:r>
      <w:r w:rsidR="00482331">
        <w:rPr>
          <w:rFonts w:asciiTheme="majorHAnsi" w:hAnsiTheme="majorHAnsi" w:cstheme="majorHAnsi"/>
          <w:sz w:val="20"/>
          <w:szCs w:val="20"/>
        </w:rPr>
        <w:t xml:space="preserve"> </w:t>
      </w:r>
      <w:r w:rsidR="00DD4EFB" w:rsidRPr="00AC34E4">
        <w:rPr>
          <w:rFonts w:asciiTheme="majorHAnsi" w:hAnsiTheme="majorHAnsi" w:cstheme="majorHAnsi"/>
          <w:sz w:val="20"/>
          <w:szCs w:val="20"/>
        </w:rPr>
        <w:t>Utilities (General) Regulation 2017</w:t>
      </w:r>
      <w:r w:rsidR="007429E5">
        <w:rPr>
          <w:rFonts w:asciiTheme="majorHAnsi" w:hAnsiTheme="majorHAnsi" w:cstheme="majorHAnsi"/>
          <w:sz w:val="20"/>
          <w:szCs w:val="20"/>
        </w:rPr>
        <w:t xml:space="preserve"> (ACT)</w:t>
      </w:r>
      <w:r w:rsidR="00DD4EFB">
        <w:rPr>
          <w:rFonts w:asciiTheme="majorHAnsi" w:hAnsiTheme="majorHAnsi" w:cstheme="majorHAnsi"/>
          <w:sz w:val="20"/>
          <w:szCs w:val="20"/>
        </w:rPr>
        <w:t xml:space="preserve"> </w:t>
      </w:r>
    </w:p>
    <w:p w:rsidR="002A3426" w:rsidRDefault="00A73CAC">
      <w:pPr>
        <w:pStyle w:val="MELegal3"/>
        <w:rPr>
          <w:rFonts w:asciiTheme="majorHAnsi" w:hAnsiTheme="majorHAnsi" w:cstheme="majorHAnsi"/>
          <w:sz w:val="20"/>
          <w:szCs w:val="20"/>
        </w:rPr>
      </w:pPr>
      <w:r>
        <w:rPr>
          <w:rFonts w:asciiTheme="majorHAnsi" w:hAnsiTheme="majorHAnsi" w:cstheme="majorHAnsi"/>
          <w:sz w:val="20"/>
          <w:szCs w:val="20"/>
        </w:rPr>
        <w:t xml:space="preserve">Gas Supply Act 1996 (NSW) and Gas Supply (Natural Gas Retail) Regulation </w:t>
      </w:r>
      <w:r w:rsidR="002C306E">
        <w:rPr>
          <w:rFonts w:asciiTheme="majorHAnsi" w:hAnsiTheme="majorHAnsi" w:cstheme="majorHAnsi"/>
          <w:sz w:val="20"/>
          <w:szCs w:val="20"/>
        </w:rPr>
        <w:t xml:space="preserve">2014 </w:t>
      </w:r>
      <w:r>
        <w:rPr>
          <w:rFonts w:asciiTheme="majorHAnsi" w:hAnsiTheme="majorHAnsi" w:cstheme="majorHAnsi"/>
          <w:sz w:val="20"/>
          <w:szCs w:val="20"/>
        </w:rPr>
        <w:t>(NSW)</w:t>
      </w:r>
    </w:p>
    <w:p w:rsidR="002A3426" w:rsidRDefault="00A73CAC">
      <w:pPr>
        <w:pStyle w:val="MELegal3"/>
        <w:rPr>
          <w:rFonts w:asciiTheme="majorHAnsi" w:hAnsiTheme="majorHAnsi" w:cstheme="majorHAnsi"/>
          <w:sz w:val="20"/>
          <w:szCs w:val="20"/>
        </w:rPr>
      </w:pPr>
      <w:r>
        <w:rPr>
          <w:rFonts w:asciiTheme="majorHAnsi" w:hAnsiTheme="majorHAnsi" w:cstheme="majorHAnsi"/>
          <w:sz w:val="20"/>
          <w:szCs w:val="20"/>
        </w:rPr>
        <w:t>Gas Supply Act 2003 (Qld) and Gas Supply Regulation 2007 (Qld)</w:t>
      </w:r>
    </w:p>
    <w:p w:rsidR="002A3426" w:rsidRDefault="00A73CAC">
      <w:pPr>
        <w:pStyle w:val="MELegal3"/>
        <w:rPr>
          <w:rFonts w:asciiTheme="majorHAnsi" w:hAnsiTheme="majorHAnsi" w:cstheme="majorHAnsi"/>
          <w:sz w:val="20"/>
          <w:szCs w:val="20"/>
        </w:rPr>
      </w:pPr>
      <w:r>
        <w:rPr>
          <w:rFonts w:asciiTheme="majorHAnsi" w:hAnsiTheme="majorHAnsi" w:cstheme="majorHAnsi"/>
          <w:sz w:val="20"/>
          <w:szCs w:val="20"/>
        </w:rPr>
        <w:t>Gas Act 1997 (SA) and Gas Regulations 2012 (SA)</w:t>
      </w:r>
    </w:p>
    <w:p w:rsidR="002A3426" w:rsidRDefault="00A73CAC">
      <w:pPr>
        <w:pStyle w:val="MELegal1"/>
        <w:keepNext/>
        <w:spacing w:before="120" w:after="120"/>
        <w:rPr>
          <w:rFonts w:asciiTheme="majorHAnsi" w:hAnsiTheme="majorHAnsi" w:cstheme="majorHAnsi"/>
          <w:b/>
          <w:sz w:val="20"/>
          <w:szCs w:val="20"/>
        </w:rPr>
      </w:pPr>
      <w:bookmarkStart w:id="2" w:name="_Ref359596506"/>
      <w:bookmarkEnd w:id="1"/>
      <w:r>
        <w:rPr>
          <w:rFonts w:asciiTheme="majorHAnsi" w:hAnsiTheme="majorHAnsi" w:cstheme="majorHAnsi"/>
          <w:b/>
          <w:sz w:val="20"/>
          <w:szCs w:val="20"/>
        </w:rPr>
        <w:t>Jurisdictional Interpretation Acts</w:t>
      </w:r>
      <w:bookmarkEnd w:id="2"/>
    </w:p>
    <w:p w:rsidR="002A3426" w:rsidRDefault="00A73CAC">
      <w:pPr>
        <w:pStyle w:val="MELegal3"/>
        <w:rPr>
          <w:rFonts w:asciiTheme="majorHAnsi" w:hAnsiTheme="majorHAnsi" w:cstheme="majorHAnsi"/>
          <w:sz w:val="20"/>
          <w:szCs w:val="20"/>
        </w:rPr>
      </w:pPr>
      <w:r>
        <w:rPr>
          <w:rFonts w:asciiTheme="majorHAnsi" w:hAnsiTheme="majorHAnsi" w:cstheme="majorHAnsi"/>
          <w:sz w:val="20"/>
          <w:szCs w:val="20"/>
        </w:rPr>
        <w:t>Legislation Act 2001 (ACT)</w:t>
      </w:r>
    </w:p>
    <w:p w:rsidR="002A3426" w:rsidRDefault="00A73CAC">
      <w:pPr>
        <w:pStyle w:val="MELegal3"/>
        <w:rPr>
          <w:rFonts w:asciiTheme="majorHAnsi" w:hAnsiTheme="majorHAnsi" w:cstheme="majorHAnsi"/>
          <w:sz w:val="20"/>
          <w:szCs w:val="20"/>
        </w:rPr>
      </w:pPr>
      <w:bookmarkStart w:id="3" w:name="_Ref359596563"/>
      <w:r>
        <w:rPr>
          <w:rFonts w:asciiTheme="majorHAnsi" w:hAnsiTheme="majorHAnsi" w:cstheme="majorHAnsi"/>
          <w:sz w:val="20"/>
          <w:szCs w:val="20"/>
        </w:rPr>
        <w:t>Interpretation Act 1987 (NSW)</w:t>
      </w:r>
      <w:bookmarkEnd w:id="3"/>
    </w:p>
    <w:p w:rsidR="002A3426" w:rsidRDefault="00A73CAC">
      <w:pPr>
        <w:pStyle w:val="MELegal3"/>
        <w:rPr>
          <w:rFonts w:asciiTheme="majorHAnsi" w:hAnsiTheme="majorHAnsi" w:cstheme="majorHAnsi"/>
          <w:sz w:val="20"/>
          <w:szCs w:val="20"/>
        </w:rPr>
      </w:pPr>
      <w:r>
        <w:rPr>
          <w:rFonts w:asciiTheme="majorHAnsi" w:hAnsiTheme="majorHAnsi" w:cstheme="majorHAnsi"/>
          <w:sz w:val="20"/>
          <w:szCs w:val="20"/>
        </w:rPr>
        <w:t>Acts Interpretation Act 1954 (Qld)</w:t>
      </w:r>
    </w:p>
    <w:p w:rsidR="002A3426" w:rsidRDefault="00A73CAC">
      <w:pPr>
        <w:pStyle w:val="MELegal3"/>
        <w:rPr>
          <w:rFonts w:asciiTheme="majorHAnsi" w:hAnsiTheme="majorHAnsi" w:cstheme="majorHAnsi"/>
          <w:sz w:val="20"/>
          <w:szCs w:val="20"/>
        </w:rPr>
      </w:pPr>
      <w:r>
        <w:rPr>
          <w:rFonts w:asciiTheme="majorHAnsi" w:hAnsiTheme="majorHAnsi" w:cstheme="majorHAnsi"/>
          <w:sz w:val="20"/>
          <w:szCs w:val="20"/>
        </w:rPr>
        <w:lastRenderedPageBreak/>
        <w:t>Acts Interpretation Act 1915 (SA)</w:t>
      </w:r>
    </w:p>
    <w:p w:rsidR="002A3426" w:rsidRDefault="00A73CAC">
      <w:pPr>
        <w:pStyle w:val="MELegal3"/>
        <w:rPr>
          <w:rFonts w:asciiTheme="majorHAnsi" w:hAnsiTheme="majorHAnsi" w:cstheme="majorHAnsi"/>
          <w:sz w:val="20"/>
          <w:szCs w:val="20"/>
        </w:rPr>
      </w:pPr>
      <w:bookmarkStart w:id="4" w:name="_Ref359596571"/>
      <w:r>
        <w:rPr>
          <w:rFonts w:asciiTheme="majorHAnsi" w:hAnsiTheme="majorHAnsi" w:cstheme="majorHAnsi"/>
          <w:sz w:val="20"/>
          <w:szCs w:val="20"/>
        </w:rPr>
        <w:t>Acts Interpretation Act 1931 (</w:t>
      </w:r>
      <w:proofErr w:type="spellStart"/>
      <w:r>
        <w:rPr>
          <w:rFonts w:asciiTheme="majorHAnsi" w:hAnsiTheme="majorHAnsi" w:cstheme="majorHAnsi"/>
          <w:sz w:val="20"/>
          <w:szCs w:val="20"/>
        </w:rPr>
        <w:t>Tas</w:t>
      </w:r>
      <w:bookmarkEnd w:id="4"/>
      <w:proofErr w:type="spellEnd"/>
      <w:r>
        <w:rPr>
          <w:rFonts w:asciiTheme="majorHAnsi" w:hAnsiTheme="majorHAnsi" w:cstheme="majorHAnsi"/>
          <w:sz w:val="20"/>
          <w:szCs w:val="20"/>
        </w:rPr>
        <w:t>)</w:t>
      </w:r>
      <w:r w:rsidR="00DD4EFB">
        <w:rPr>
          <w:rFonts w:asciiTheme="majorHAnsi" w:hAnsiTheme="majorHAnsi" w:cstheme="majorHAnsi"/>
          <w:sz w:val="20"/>
          <w:szCs w:val="20"/>
        </w:rPr>
        <w:t xml:space="preserve"> </w:t>
      </w:r>
    </w:p>
    <w:p w:rsidR="002A3426" w:rsidRDefault="00A73CAC" w:rsidP="00447F3A">
      <w:pPr>
        <w:pStyle w:val="MELegal3"/>
        <w:rPr>
          <w:rFonts w:asciiTheme="majorHAnsi" w:hAnsiTheme="majorHAnsi" w:cstheme="majorHAnsi"/>
          <w:sz w:val="20"/>
          <w:szCs w:val="20"/>
        </w:rPr>
      </w:pPr>
      <w:r w:rsidRPr="003E678D">
        <w:rPr>
          <w:rFonts w:asciiTheme="majorHAnsi" w:hAnsiTheme="majorHAnsi" w:cstheme="majorHAnsi"/>
          <w:sz w:val="20"/>
          <w:szCs w:val="20"/>
        </w:rPr>
        <w:t>Interpretation of Legislation Act 1984</w:t>
      </w:r>
      <w:r w:rsidR="00D11632" w:rsidRPr="003E678D">
        <w:rPr>
          <w:rFonts w:asciiTheme="majorHAnsi" w:hAnsiTheme="majorHAnsi" w:cstheme="majorHAnsi"/>
          <w:sz w:val="20"/>
          <w:szCs w:val="20"/>
        </w:rPr>
        <w:t xml:space="preserve"> (Vic) </w:t>
      </w:r>
    </w:p>
    <w:sectPr w:rsidR="002A3426">
      <w:type w:val="continuous"/>
      <w:pgSz w:w="16838" w:h="11906" w:orient="landscape"/>
      <w:pgMar w:top="994" w:right="851" w:bottom="851" w:left="851" w:header="567" w:footer="567"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226" w:rsidRDefault="00A17226">
      <w:r>
        <w:separator/>
      </w:r>
    </w:p>
  </w:endnote>
  <w:endnote w:type="continuationSeparator" w:id="0">
    <w:p w:rsidR="00A17226" w:rsidRDefault="00A17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E0002AFF" w:usb1="C0007841"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26" w:rsidRDefault="002A3426">
    <w:pPr>
      <w:pStyle w:val="Footer"/>
    </w:pPr>
  </w:p>
  <w:p w:rsidR="002A3426" w:rsidRDefault="002A3426">
    <w:pPr>
      <w:pStyle w:val="Footer"/>
    </w:pPr>
  </w:p>
  <w:p w:rsidR="002A3426" w:rsidRDefault="002A3426">
    <w:pPr>
      <w:pStyle w:val="Footer"/>
    </w:pPr>
  </w:p>
  <w:p w:rsidR="002A3426" w:rsidRDefault="002A3426">
    <w:pPr>
      <w:pStyle w:val="Footer"/>
    </w:pPr>
  </w:p>
  <w:p w:rsidR="002A3426" w:rsidRDefault="002A3426">
    <w:pPr>
      <w:pStyle w:val="Footer"/>
    </w:pPr>
  </w:p>
  <w:p w:rsidR="002A3426" w:rsidRDefault="00F32DD7">
    <w:pPr>
      <w:pStyle w:val="Footer"/>
    </w:pPr>
    <w:r>
      <w:rPr>
        <w:sz w:val="13"/>
      </w:rPr>
      <w:fldChar w:fldCharType="begin"/>
    </w:r>
    <w:r>
      <w:rPr>
        <w:sz w:val="13"/>
      </w:rPr>
      <w:instrText xml:space="preserve"> DOCPROPERTY DocumentID \* MERGEFORMAT </w:instrText>
    </w:r>
    <w:r>
      <w:rPr>
        <w:sz w:val="13"/>
      </w:rPr>
      <w:fldChar w:fldCharType="separate"/>
    </w:r>
    <w:r w:rsidR="00B85076" w:rsidRPr="009E7A78">
      <w:rPr>
        <w:sz w:val="13"/>
      </w:rPr>
      <w:t>ME_151415882_1</w:t>
    </w:r>
    <w:r>
      <w:rPr>
        <w:sz w:val="13"/>
      </w:rPr>
      <w:fldChar w:fldCharType="end"/>
    </w:r>
  </w:p>
  <w:p w:rsidR="002A3426" w:rsidRDefault="002A3426">
    <w:pPr>
      <w:pStyle w:val="Footer"/>
    </w:pPr>
  </w:p>
  <w:p w:rsidR="002A3426" w:rsidRDefault="002A3426">
    <w:pPr>
      <w:pStyle w:val="Footer"/>
    </w:pPr>
  </w:p>
  <w:p w:rsidR="002A3426" w:rsidRDefault="002A3426">
    <w:pPr>
      <w:pStyle w:val="Footer"/>
      <w:rPr>
        <w:color w:val="191919"/>
        <w:sz w:val="13"/>
      </w:rPr>
    </w:pPr>
  </w:p>
  <w:p w:rsidR="00A73CAC" w:rsidRDefault="00F56EEC">
    <w:pPr>
      <w:pStyle w:val="Footer"/>
    </w:pPr>
    <w:r>
      <w:fldChar w:fldCharType="begin"/>
    </w:r>
    <w:r>
      <w:instrText xml:space="preserve"> DOCPROPERTY DocumentID \* MERGEFORMAT </w:instrText>
    </w:r>
    <w:r>
      <w:fldChar w:fldCharType="separate"/>
    </w:r>
    <w:r w:rsidR="008869E7" w:rsidRPr="008869E7">
      <w:rPr>
        <w:color w:val="191919"/>
        <w:sz w:val="13"/>
      </w:rPr>
      <w:t>ME_158336443_1</w:t>
    </w:r>
    <w:r>
      <w:rPr>
        <w:color w:val="191919"/>
        <w:sz w:val="13"/>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26" w:rsidRDefault="002A3426">
    <w:pPr>
      <w:pStyle w:val="Footer"/>
      <w:tabs>
        <w:tab w:val="clear" w:pos="4513"/>
        <w:tab w:val="clear" w:pos="9026"/>
        <w:tab w:val="center" w:pos="4678"/>
        <w:tab w:val="right" w:pos="9356"/>
      </w:tabs>
    </w:pPr>
  </w:p>
  <w:p w:rsidR="002A3426" w:rsidRDefault="002A3426">
    <w:pPr>
      <w:pStyle w:val="Footer"/>
      <w:tabs>
        <w:tab w:val="clear" w:pos="4513"/>
        <w:tab w:val="clear" w:pos="9026"/>
        <w:tab w:val="center" w:pos="4678"/>
        <w:tab w:val="right" w:pos="9356"/>
      </w:tabs>
    </w:pPr>
  </w:p>
  <w:p w:rsidR="002A3426" w:rsidRDefault="002A3426">
    <w:pPr>
      <w:pStyle w:val="Footer"/>
      <w:tabs>
        <w:tab w:val="clear" w:pos="4513"/>
        <w:tab w:val="clear" w:pos="9026"/>
        <w:tab w:val="center" w:pos="4678"/>
        <w:tab w:val="right" w:pos="9356"/>
      </w:tabs>
    </w:pPr>
  </w:p>
  <w:p w:rsidR="002A3426" w:rsidRDefault="002A3426">
    <w:pPr>
      <w:pStyle w:val="Footer"/>
      <w:tabs>
        <w:tab w:val="clear" w:pos="4513"/>
        <w:tab w:val="clear" w:pos="9026"/>
        <w:tab w:val="center" w:pos="4678"/>
        <w:tab w:val="right" w:pos="9356"/>
      </w:tabs>
      <w:rPr>
        <w:color w:val="191919"/>
        <w:sz w:val="13"/>
      </w:rPr>
    </w:pPr>
  </w:p>
  <w:p w:rsidR="00A73CAC" w:rsidRDefault="00F56EEC">
    <w:pPr>
      <w:pStyle w:val="Footer"/>
      <w:tabs>
        <w:tab w:val="clear" w:pos="4513"/>
        <w:tab w:val="clear" w:pos="9026"/>
        <w:tab w:val="center" w:pos="4678"/>
        <w:tab w:val="right" w:pos="9356"/>
      </w:tabs>
    </w:pPr>
    <w:r>
      <w:fldChar w:fldCharType="begin"/>
    </w:r>
    <w:r>
      <w:instrText xml:space="preserve"> DOCPROPERTY DocumentID \* MERGEFORMAT </w:instrText>
    </w:r>
    <w:r>
      <w:fldChar w:fldCharType="separate"/>
    </w:r>
    <w:r w:rsidR="008869E7" w:rsidRPr="008869E7">
      <w:rPr>
        <w:color w:val="191919"/>
        <w:sz w:val="13"/>
      </w:rPr>
      <w:t>ME_158336443_1</w:t>
    </w:r>
    <w:r>
      <w:rPr>
        <w:color w:val="191919"/>
        <w:sz w:val="13"/>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26" w:rsidRDefault="002A3426">
    <w:pPr>
      <w:pStyle w:val="Footer"/>
    </w:pPr>
  </w:p>
  <w:p w:rsidR="002A3426" w:rsidRDefault="002A3426">
    <w:pPr>
      <w:pStyle w:val="Footer"/>
    </w:pPr>
  </w:p>
  <w:p w:rsidR="002A3426" w:rsidRDefault="002A3426">
    <w:pPr>
      <w:pStyle w:val="Footer"/>
    </w:pPr>
  </w:p>
  <w:p w:rsidR="002A3426" w:rsidRDefault="002A3426">
    <w:pPr>
      <w:pStyle w:val="Footer"/>
    </w:pPr>
  </w:p>
  <w:p w:rsidR="002A3426" w:rsidRDefault="002A3426">
    <w:pPr>
      <w:pStyle w:val="Footer"/>
      <w:rPr>
        <w:color w:val="191919"/>
        <w:sz w:val="13"/>
      </w:rPr>
    </w:pPr>
  </w:p>
  <w:p w:rsidR="00A73CAC" w:rsidRDefault="00F56EEC">
    <w:pPr>
      <w:pStyle w:val="Footer"/>
    </w:pPr>
    <w:r>
      <w:fldChar w:fldCharType="begin"/>
    </w:r>
    <w:r>
      <w:instrText xml:space="preserve"> DOCPROPERTY DocumentID \* MERGEFORMAT </w:instrText>
    </w:r>
    <w:r>
      <w:fldChar w:fldCharType="separate"/>
    </w:r>
    <w:r w:rsidR="008869E7" w:rsidRPr="008869E7">
      <w:rPr>
        <w:color w:val="191919"/>
        <w:sz w:val="13"/>
      </w:rPr>
      <w:t>ME_158336443_1</w:t>
    </w:r>
    <w:r>
      <w:rPr>
        <w:color w:val="191919"/>
        <w:sz w:val="1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226" w:rsidRDefault="00A17226">
      <w:r>
        <w:separator/>
      </w:r>
    </w:p>
  </w:footnote>
  <w:footnote w:type="continuationSeparator" w:id="0">
    <w:p w:rsidR="00A17226" w:rsidRDefault="00A17226">
      <w:r>
        <w:continuationSeparator/>
      </w:r>
    </w:p>
  </w:footnote>
  <w:footnote w:id="1">
    <w:p w:rsidR="002A3426" w:rsidRPr="00D11632" w:rsidRDefault="00A73CAC">
      <w:pPr>
        <w:pStyle w:val="FootnoteText"/>
        <w:rPr>
          <w:rFonts w:asciiTheme="majorHAnsi" w:hAnsiTheme="majorHAnsi" w:cstheme="majorHAnsi"/>
          <w:sz w:val="18"/>
          <w:szCs w:val="18"/>
        </w:rPr>
      </w:pPr>
      <w:r w:rsidRPr="00D11632">
        <w:rPr>
          <w:rStyle w:val="FootnoteReference"/>
          <w:rFonts w:asciiTheme="majorHAnsi" w:hAnsiTheme="majorHAnsi" w:cstheme="majorHAnsi"/>
          <w:sz w:val="18"/>
          <w:szCs w:val="18"/>
        </w:rPr>
        <w:footnoteRef/>
      </w:r>
      <w:r w:rsidRPr="00D11632">
        <w:rPr>
          <w:rFonts w:asciiTheme="majorHAnsi" w:hAnsiTheme="majorHAnsi" w:cstheme="majorHAnsi"/>
          <w:sz w:val="18"/>
          <w:szCs w:val="18"/>
        </w:rPr>
        <w:t xml:space="preserve"> Under section 218, NERL, the AER may prepare guidelines about the matters that it will have regard to before using its enforcement powers under the NERL. To date, the AER has not published such guidelines.</w:t>
      </w:r>
    </w:p>
  </w:footnote>
  <w:footnote w:id="2">
    <w:p w:rsidR="002A3426" w:rsidRPr="00C331E0" w:rsidRDefault="00A73CAC">
      <w:pPr>
        <w:pStyle w:val="FootnoteText"/>
        <w:rPr>
          <w:rFonts w:asciiTheme="majorHAnsi" w:hAnsiTheme="majorHAnsi" w:cstheme="majorHAnsi"/>
          <w:sz w:val="18"/>
          <w:szCs w:val="18"/>
        </w:rPr>
      </w:pPr>
      <w:r w:rsidRPr="00D11632">
        <w:rPr>
          <w:rStyle w:val="FootnoteReference"/>
          <w:rFonts w:asciiTheme="majorHAnsi" w:hAnsiTheme="majorHAnsi" w:cstheme="majorHAnsi"/>
          <w:sz w:val="18"/>
          <w:szCs w:val="18"/>
        </w:rPr>
        <w:footnoteRef/>
      </w:r>
      <w:r w:rsidRPr="00D11632">
        <w:rPr>
          <w:rFonts w:asciiTheme="majorHAnsi" w:hAnsiTheme="majorHAnsi" w:cstheme="majorHAnsi"/>
          <w:sz w:val="18"/>
          <w:szCs w:val="18"/>
        </w:rPr>
        <w:t xml:space="preserve">  The AER </w:t>
      </w:r>
      <w:hyperlink r:id="rId1" w:history="1">
        <w:r w:rsidRPr="00C331E0">
          <w:rPr>
            <w:rFonts w:asciiTheme="majorHAnsi" w:hAnsiTheme="majorHAnsi" w:cstheme="majorHAnsi"/>
            <w:sz w:val="18"/>
            <w:szCs w:val="18"/>
          </w:rPr>
          <w:t>Network service provider registration exemption guideline</w:t>
        </w:r>
      </w:hyperlink>
      <w:r w:rsidR="00435EEC">
        <w:rPr>
          <w:rFonts w:asciiTheme="majorHAnsi" w:hAnsiTheme="majorHAnsi" w:cstheme="majorHAnsi"/>
          <w:sz w:val="18"/>
          <w:szCs w:val="18"/>
        </w:rPr>
        <w:t xml:space="preserve"> (March 2018)</w:t>
      </w:r>
      <w:r w:rsidRPr="00C331E0">
        <w:rPr>
          <w:rFonts w:asciiTheme="majorHAnsi" w:hAnsiTheme="majorHAnsi" w:cstheme="majorHAnsi"/>
          <w:sz w:val="18"/>
          <w:szCs w:val="18"/>
        </w:rPr>
        <w:t xml:space="preserve"> made under the National Electricity Law is also relevant.</w:t>
      </w:r>
    </w:p>
  </w:footnote>
  <w:footnote w:id="3">
    <w:p w:rsidR="002A3426" w:rsidRPr="00C331E0" w:rsidRDefault="00A73CAC">
      <w:pPr>
        <w:pStyle w:val="FootnoteText"/>
        <w:rPr>
          <w:rFonts w:asciiTheme="majorHAnsi" w:hAnsiTheme="majorHAnsi" w:cstheme="majorHAnsi"/>
          <w:sz w:val="18"/>
          <w:szCs w:val="18"/>
        </w:rPr>
      </w:pPr>
      <w:r w:rsidRPr="00C331E0">
        <w:rPr>
          <w:rStyle w:val="FootnoteReference"/>
          <w:rFonts w:asciiTheme="majorHAnsi" w:hAnsiTheme="majorHAnsi" w:cstheme="majorHAnsi"/>
          <w:sz w:val="18"/>
          <w:szCs w:val="18"/>
        </w:rPr>
        <w:footnoteRef/>
      </w:r>
      <w:r w:rsidRPr="00C331E0">
        <w:rPr>
          <w:rFonts w:asciiTheme="majorHAnsi" w:hAnsiTheme="majorHAnsi" w:cstheme="majorHAnsi"/>
          <w:sz w:val="18"/>
          <w:szCs w:val="18"/>
        </w:rPr>
        <w:t xml:space="preserve"> S</w:t>
      </w:r>
      <w:r w:rsidRPr="00D11632">
        <w:rPr>
          <w:rFonts w:asciiTheme="majorHAnsi" w:hAnsiTheme="majorHAnsi" w:cstheme="majorHAnsi"/>
          <w:sz w:val="18"/>
          <w:szCs w:val="18"/>
        </w:rPr>
        <w:t>ee also version 4 of the Retailer of Last Resort Plan, July 2015.</w:t>
      </w:r>
    </w:p>
  </w:footnote>
  <w:footnote w:id="4">
    <w:p w:rsidR="002A3426" w:rsidRPr="007D6AA5" w:rsidRDefault="00A73CAC">
      <w:pPr>
        <w:pStyle w:val="FootnoteText"/>
        <w:rPr>
          <w:rFonts w:asciiTheme="majorHAnsi" w:hAnsiTheme="majorHAnsi" w:cstheme="majorHAnsi"/>
          <w:sz w:val="18"/>
          <w:szCs w:val="18"/>
        </w:rPr>
      </w:pPr>
      <w:r w:rsidRPr="00D11632">
        <w:rPr>
          <w:rStyle w:val="FootnoteReference"/>
          <w:rFonts w:asciiTheme="majorHAnsi" w:hAnsiTheme="majorHAnsi" w:cstheme="majorHAnsi"/>
          <w:sz w:val="18"/>
          <w:szCs w:val="18"/>
        </w:rPr>
        <w:footnoteRef/>
      </w:r>
      <w:r w:rsidRPr="00D11632">
        <w:rPr>
          <w:rFonts w:asciiTheme="majorHAnsi" w:hAnsiTheme="majorHAnsi" w:cstheme="majorHAnsi"/>
          <w:sz w:val="18"/>
          <w:szCs w:val="18"/>
        </w:rPr>
        <w:t xml:space="preserve"> Although the AER is not specifically authorised to prepare and publish this document, it is in line with the AER's obligation to approve customer hardship policies or variations (section 45, NERL).</w:t>
      </w:r>
    </w:p>
  </w:footnote>
  <w:footnote w:id="5">
    <w:p w:rsidR="002A3426" w:rsidRPr="00C331E0" w:rsidRDefault="00A73CAC">
      <w:pPr>
        <w:pStyle w:val="FootnoteText"/>
        <w:rPr>
          <w:rFonts w:asciiTheme="majorHAnsi" w:hAnsiTheme="majorHAnsi" w:cstheme="majorHAnsi"/>
          <w:sz w:val="18"/>
          <w:szCs w:val="18"/>
        </w:rPr>
      </w:pPr>
      <w:r w:rsidRPr="007D6AA5">
        <w:rPr>
          <w:rStyle w:val="FootnoteReference"/>
          <w:rFonts w:asciiTheme="majorHAnsi" w:hAnsiTheme="majorHAnsi" w:cstheme="majorHAnsi"/>
          <w:sz w:val="18"/>
          <w:szCs w:val="18"/>
        </w:rPr>
        <w:footnoteRef/>
      </w:r>
      <w:r w:rsidRPr="007D6AA5">
        <w:rPr>
          <w:rFonts w:asciiTheme="majorHAnsi" w:hAnsiTheme="majorHAnsi" w:cstheme="majorHAnsi"/>
          <w:sz w:val="18"/>
          <w:szCs w:val="18"/>
        </w:rPr>
        <w:t xml:space="preserve"> Note the AER Price Comparator website – Energy Made Easy at </w:t>
      </w:r>
      <w:hyperlink r:id="rId2" w:history="1">
        <w:r w:rsidRPr="00C331E0">
          <w:rPr>
            <w:rStyle w:val="Hyperlink"/>
            <w:rFonts w:asciiTheme="majorHAnsi" w:hAnsiTheme="majorHAnsi" w:cstheme="majorHAnsi"/>
            <w:sz w:val="18"/>
            <w:szCs w:val="18"/>
          </w:rPr>
          <w:t>http://www.energymadeeasy.gov.au/</w:t>
        </w:r>
      </w:hyperlink>
      <w:r w:rsidRPr="00C331E0">
        <w:rPr>
          <w:rFonts w:asciiTheme="majorHAnsi" w:hAnsiTheme="majorHAnsi" w:cstheme="majorHAnsi"/>
          <w:sz w:val="18"/>
          <w:szCs w:val="18"/>
        </w:rPr>
        <w:t xml:space="preserve"> (see section 62, NERL).</w:t>
      </w:r>
    </w:p>
  </w:footnote>
  <w:footnote w:id="6">
    <w:p w:rsidR="002A3426" w:rsidRDefault="00A73CAC">
      <w:pPr>
        <w:pStyle w:val="FootnoteText"/>
      </w:pPr>
      <w:r w:rsidRPr="00C331E0">
        <w:rPr>
          <w:rStyle w:val="FootnoteReference"/>
          <w:rFonts w:asciiTheme="majorHAnsi" w:hAnsiTheme="majorHAnsi" w:cstheme="majorHAnsi"/>
          <w:sz w:val="18"/>
          <w:szCs w:val="18"/>
        </w:rPr>
        <w:footnoteRef/>
      </w:r>
      <w:r w:rsidRPr="00C331E0">
        <w:rPr>
          <w:rFonts w:asciiTheme="majorHAnsi" w:hAnsiTheme="majorHAnsi" w:cstheme="majorHAnsi"/>
          <w:sz w:val="18"/>
          <w:szCs w:val="18"/>
        </w:rPr>
        <w:t xml:space="preserve"> </w:t>
      </w:r>
      <w:r w:rsidR="008821F2">
        <w:rPr>
          <w:rFonts w:asciiTheme="majorHAnsi" w:hAnsiTheme="majorHAnsi" w:cstheme="majorHAnsi"/>
          <w:sz w:val="18"/>
          <w:szCs w:val="18"/>
        </w:rPr>
        <w:t xml:space="preserve">See AEMO's </w:t>
      </w:r>
      <w:r w:rsidR="00435976">
        <w:rPr>
          <w:rFonts w:asciiTheme="majorHAnsi" w:hAnsiTheme="majorHAnsi" w:cstheme="majorHAnsi"/>
          <w:sz w:val="18"/>
          <w:szCs w:val="18"/>
        </w:rPr>
        <w:t xml:space="preserve">Guide to </w:t>
      </w:r>
      <w:r w:rsidR="00D72F07">
        <w:rPr>
          <w:rFonts w:asciiTheme="majorHAnsi" w:hAnsiTheme="majorHAnsi" w:cstheme="majorHAnsi"/>
          <w:sz w:val="18"/>
          <w:szCs w:val="18"/>
        </w:rPr>
        <w:t>Retail Electricity Market Procedures (v 4</w:t>
      </w:r>
      <w:r w:rsidR="00435976">
        <w:rPr>
          <w:rFonts w:asciiTheme="majorHAnsi" w:hAnsiTheme="majorHAnsi" w:cstheme="majorHAnsi"/>
          <w:sz w:val="18"/>
          <w:szCs w:val="18"/>
        </w:rPr>
        <w:t>.0</w:t>
      </w:r>
      <w:r w:rsidR="00D72F07">
        <w:rPr>
          <w:rFonts w:asciiTheme="majorHAnsi" w:hAnsiTheme="majorHAnsi" w:cstheme="majorHAnsi"/>
          <w:sz w:val="18"/>
          <w:szCs w:val="18"/>
        </w:rPr>
        <w:t xml:space="preserve"> March 2019)</w:t>
      </w:r>
      <w:r w:rsidR="00435976">
        <w:rPr>
          <w:rFonts w:asciiTheme="majorHAnsi" w:hAnsiTheme="majorHAnsi" w:cstheme="majorHAnsi"/>
          <w:sz w:val="18"/>
          <w:szCs w:val="18"/>
        </w:rPr>
        <w:t xml:space="preserve"> </w:t>
      </w:r>
      <w:r w:rsidR="008821F2">
        <w:rPr>
          <w:rFonts w:asciiTheme="majorHAnsi" w:hAnsiTheme="majorHAnsi" w:cstheme="majorHAnsi"/>
          <w:sz w:val="18"/>
          <w:szCs w:val="18"/>
        </w:rPr>
        <w:t xml:space="preserve">for a complete list of Retail Electricity Market Procedures and supporting documents. </w:t>
      </w:r>
      <w:r w:rsidRPr="00D11632">
        <w:rPr>
          <w:rFonts w:asciiTheme="majorHAnsi" w:hAnsiTheme="majorHAnsi" w:cstheme="majorHAnsi"/>
          <w:sz w:val="18"/>
          <w:szCs w:val="18"/>
        </w:rPr>
        <w:t>See also AEMO's List of Procedures Authorised under Chapter 7 of the NER, published pursuant to clause 7.2A of the NER</w:t>
      </w:r>
      <w:r w:rsidR="00D77143">
        <w:rPr>
          <w:rFonts w:asciiTheme="majorHAnsi" w:hAnsiTheme="majorHAnsi" w:cstheme="majorHAnsi"/>
          <w:sz w:val="18"/>
          <w:szCs w:val="18"/>
        </w:rPr>
        <w:t>.</w:t>
      </w:r>
    </w:p>
  </w:footnote>
  <w:footnote w:id="7">
    <w:p w:rsidR="008869E7" w:rsidRDefault="008869E7">
      <w:pPr>
        <w:pStyle w:val="FootnoteText"/>
      </w:pPr>
      <w:r w:rsidRPr="008869E7">
        <w:rPr>
          <w:rStyle w:val="FootnoteReference"/>
          <w:rFonts w:ascii="Arial" w:hAnsi="Arial" w:cs="Arial"/>
          <w:sz w:val="18"/>
          <w:szCs w:val="18"/>
        </w:rPr>
        <w:footnoteRef/>
      </w:r>
      <w:r w:rsidRPr="008869E7">
        <w:rPr>
          <w:rStyle w:val="FootnoteReference"/>
          <w:rFonts w:ascii="Arial" w:hAnsi="Arial" w:cs="Arial"/>
          <w:sz w:val="18"/>
          <w:szCs w:val="18"/>
        </w:rPr>
        <w:t xml:space="preserve"> </w:t>
      </w:r>
      <w:r w:rsidRPr="008869E7">
        <w:rPr>
          <w:rStyle w:val="FootnoteReference"/>
          <w:rFonts w:ascii="Arial" w:hAnsi="Arial" w:cs="Arial"/>
          <w:sz w:val="18"/>
          <w:szCs w:val="18"/>
          <w:vertAlign w:val="baseline"/>
        </w:rPr>
        <w:t xml:space="preserve">The Industry Code is a mandatory industry code for the purposes of Part IVB of the </w:t>
      </w:r>
      <w:r w:rsidRPr="008869E7">
        <w:rPr>
          <w:rStyle w:val="FootnoteReference"/>
          <w:rFonts w:ascii="Arial" w:hAnsi="Arial" w:cs="Arial"/>
          <w:i/>
          <w:sz w:val="18"/>
          <w:szCs w:val="18"/>
          <w:vertAlign w:val="baseline"/>
        </w:rPr>
        <w:t>C</w:t>
      </w:r>
      <w:proofErr w:type="gramStart"/>
      <w:r w:rsidRPr="008869E7">
        <w:rPr>
          <w:rFonts w:ascii="Arial" w:hAnsi="Arial" w:cs="Arial"/>
          <w:i/>
          <w:sz w:val="18"/>
          <w:szCs w:val="18"/>
        </w:rPr>
        <w:t>ompetition</w:t>
      </w:r>
      <w:proofErr w:type="gramEnd"/>
      <w:r w:rsidRPr="008869E7">
        <w:rPr>
          <w:rFonts w:ascii="Arial" w:hAnsi="Arial" w:cs="Arial"/>
          <w:i/>
          <w:sz w:val="18"/>
          <w:szCs w:val="18"/>
        </w:rPr>
        <w:t xml:space="preserve"> and Consumer Act 2010</w:t>
      </w:r>
      <w:r>
        <w:rPr>
          <w:rFonts w:ascii="Arial" w:hAnsi="Arial" w:cs="Arial"/>
          <w:sz w:val="18"/>
          <w:szCs w:val="18"/>
        </w:rPr>
        <w:t xml:space="preserve"> (Cth)</w:t>
      </w:r>
      <w:r w:rsidRPr="008869E7">
        <w:rPr>
          <w:rStyle w:val="FootnoteReference"/>
          <w:rFonts w:ascii="Arial" w:hAnsi="Arial" w:cs="Arial"/>
          <w:sz w:val="18"/>
          <w:szCs w:val="18"/>
          <w:vertAlign w:val="baseline"/>
        </w:rPr>
        <w:t>.</w:t>
      </w:r>
      <w:r>
        <w:rPr>
          <w:rFonts w:ascii="Arial" w:hAnsi="Arial" w:cs="Arial"/>
          <w:sz w:val="18"/>
          <w:szCs w:val="18"/>
        </w:rPr>
        <w:t xml:space="preserve"> </w:t>
      </w:r>
      <w:r w:rsidRPr="008869E7">
        <w:rPr>
          <w:rFonts w:ascii="Arial" w:hAnsi="Arial" w:cs="Arial"/>
          <w:sz w:val="18"/>
          <w:szCs w:val="18"/>
        </w:rPr>
        <w:t>It applies only in electricity distribution regions where prices are not already subject to price regulation and only to certain categories of small customers.</w:t>
      </w:r>
      <w:r>
        <w:t xml:space="preserve"> </w:t>
      </w:r>
    </w:p>
  </w:footnote>
  <w:footnote w:id="8">
    <w:p w:rsidR="002A3426" w:rsidRPr="00C331E0" w:rsidRDefault="00A73CAC">
      <w:pPr>
        <w:pStyle w:val="FootnoteText"/>
        <w:rPr>
          <w:rFonts w:ascii="Arial" w:hAnsi="Arial" w:cs="Arial"/>
          <w:sz w:val="18"/>
          <w:szCs w:val="18"/>
        </w:rPr>
      </w:pPr>
      <w:r w:rsidRPr="00C331E0">
        <w:rPr>
          <w:rStyle w:val="FootnoteReference"/>
          <w:rFonts w:ascii="Arial" w:hAnsi="Arial" w:cs="Arial"/>
          <w:sz w:val="18"/>
          <w:szCs w:val="18"/>
        </w:rPr>
        <w:footnoteRef/>
      </w:r>
      <w:r w:rsidRPr="00C331E0">
        <w:rPr>
          <w:rFonts w:ascii="Arial" w:hAnsi="Arial" w:cs="Arial"/>
          <w:sz w:val="18"/>
          <w:szCs w:val="18"/>
        </w:rPr>
        <w:t xml:space="preserve"> A regulation making power exists under </w:t>
      </w:r>
      <w:r w:rsidR="00694B5C">
        <w:rPr>
          <w:rFonts w:ascii="Arial" w:hAnsi="Arial" w:cs="Arial"/>
          <w:sz w:val="18"/>
          <w:szCs w:val="18"/>
        </w:rPr>
        <w:t xml:space="preserve">section 8 of </w:t>
      </w:r>
      <w:r w:rsidRPr="00C331E0">
        <w:rPr>
          <w:rFonts w:ascii="Arial" w:hAnsi="Arial" w:cs="Arial"/>
          <w:sz w:val="18"/>
          <w:szCs w:val="18"/>
        </w:rPr>
        <w:t>this Act</w:t>
      </w:r>
      <w:r w:rsidR="00D77143">
        <w:rPr>
          <w:rFonts w:ascii="Arial" w:hAnsi="Arial" w:cs="Arial"/>
          <w:sz w:val="18"/>
          <w:szCs w:val="18"/>
        </w:rPr>
        <w:t>.</w:t>
      </w:r>
    </w:p>
  </w:footnote>
  <w:footnote w:id="9">
    <w:p w:rsidR="002A3426" w:rsidRPr="00C331E0" w:rsidRDefault="00A73CAC">
      <w:pPr>
        <w:pStyle w:val="FootnoteText"/>
        <w:rPr>
          <w:rFonts w:ascii="Arial" w:hAnsi="Arial" w:cs="Arial"/>
          <w:sz w:val="18"/>
          <w:szCs w:val="18"/>
        </w:rPr>
      </w:pPr>
      <w:r w:rsidRPr="00C331E0">
        <w:rPr>
          <w:rStyle w:val="FootnoteReference"/>
          <w:rFonts w:ascii="Arial" w:hAnsi="Arial" w:cs="Arial"/>
          <w:sz w:val="18"/>
          <w:szCs w:val="18"/>
        </w:rPr>
        <w:footnoteRef/>
      </w:r>
      <w:r w:rsidRPr="00C331E0">
        <w:rPr>
          <w:rFonts w:ascii="Arial" w:hAnsi="Arial" w:cs="Arial"/>
          <w:sz w:val="18"/>
          <w:szCs w:val="18"/>
        </w:rPr>
        <w:t xml:space="preserve"> A regulation making power exists under </w:t>
      </w:r>
      <w:r w:rsidR="00694B5C">
        <w:rPr>
          <w:rFonts w:ascii="Arial" w:hAnsi="Arial" w:cs="Arial"/>
          <w:sz w:val="18"/>
          <w:szCs w:val="18"/>
        </w:rPr>
        <w:t xml:space="preserve">sections 8A and 9 of </w:t>
      </w:r>
      <w:r w:rsidRPr="00C331E0">
        <w:rPr>
          <w:rFonts w:ascii="Arial" w:hAnsi="Arial" w:cs="Arial"/>
          <w:sz w:val="18"/>
          <w:szCs w:val="18"/>
        </w:rPr>
        <w:t>this Act</w:t>
      </w:r>
      <w:r w:rsidR="00D77143">
        <w:rPr>
          <w:rFonts w:ascii="Arial" w:hAnsi="Arial" w:cs="Arial"/>
          <w:sz w:val="18"/>
          <w:szCs w:val="18"/>
        </w:rPr>
        <w:t>.</w:t>
      </w:r>
    </w:p>
  </w:footnote>
  <w:footnote w:id="10">
    <w:p w:rsidR="002A3426" w:rsidRPr="00C331E0" w:rsidRDefault="00A73CAC">
      <w:pPr>
        <w:pStyle w:val="FootnoteText"/>
        <w:rPr>
          <w:rFonts w:ascii="Arial" w:hAnsi="Arial" w:cs="Arial"/>
          <w:sz w:val="18"/>
          <w:szCs w:val="18"/>
        </w:rPr>
      </w:pPr>
      <w:r w:rsidRPr="00C331E0">
        <w:rPr>
          <w:rStyle w:val="FootnoteReference"/>
          <w:rFonts w:ascii="Arial" w:hAnsi="Arial" w:cs="Arial"/>
          <w:sz w:val="18"/>
          <w:szCs w:val="18"/>
        </w:rPr>
        <w:footnoteRef/>
      </w:r>
      <w:r w:rsidRPr="00C331E0">
        <w:rPr>
          <w:rStyle w:val="FootnoteReference"/>
          <w:rFonts w:ascii="Arial" w:hAnsi="Arial" w:cs="Arial"/>
          <w:sz w:val="18"/>
          <w:szCs w:val="18"/>
        </w:rPr>
        <w:t xml:space="preserve"> </w:t>
      </w:r>
      <w:r w:rsidRPr="00C331E0">
        <w:rPr>
          <w:rFonts w:ascii="Arial" w:hAnsi="Arial" w:cs="Arial"/>
          <w:sz w:val="18"/>
          <w:szCs w:val="18"/>
        </w:rPr>
        <w:t xml:space="preserve">A regulation making power exists under </w:t>
      </w:r>
      <w:r w:rsidR="00694B5C">
        <w:rPr>
          <w:rFonts w:ascii="Arial" w:hAnsi="Arial" w:cs="Arial"/>
          <w:sz w:val="18"/>
          <w:szCs w:val="18"/>
        </w:rPr>
        <w:t xml:space="preserve">section 12 of </w:t>
      </w:r>
      <w:r w:rsidRPr="00C331E0">
        <w:rPr>
          <w:rFonts w:ascii="Arial" w:hAnsi="Arial" w:cs="Arial"/>
          <w:sz w:val="18"/>
          <w:szCs w:val="18"/>
        </w:rPr>
        <w:t>this Act</w:t>
      </w:r>
      <w:r w:rsidR="00D77143">
        <w:rPr>
          <w:rFonts w:ascii="Arial" w:hAnsi="Arial" w:cs="Arial"/>
          <w:sz w:val="18"/>
          <w:szCs w:val="18"/>
        </w:rPr>
        <w:t>.</w:t>
      </w:r>
    </w:p>
  </w:footnote>
  <w:footnote w:id="11">
    <w:p w:rsidR="002A3426" w:rsidRPr="00C331E0" w:rsidRDefault="00A73CAC">
      <w:pPr>
        <w:pStyle w:val="FootnoteText"/>
        <w:rPr>
          <w:rFonts w:ascii="Arial" w:hAnsi="Arial" w:cs="Arial"/>
          <w:sz w:val="18"/>
          <w:szCs w:val="18"/>
        </w:rPr>
      </w:pPr>
      <w:r w:rsidRPr="00C331E0">
        <w:rPr>
          <w:rStyle w:val="FootnoteReference"/>
          <w:rFonts w:ascii="Arial" w:hAnsi="Arial" w:cs="Arial"/>
          <w:sz w:val="18"/>
          <w:szCs w:val="18"/>
        </w:rPr>
        <w:footnoteRef/>
      </w:r>
      <w:r w:rsidRPr="00C331E0">
        <w:rPr>
          <w:rFonts w:ascii="Arial" w:hAnsi="Arial" w:cs="Arial"/>
          <w:sz w:val="18"/>
          <w:szCs w:val="18"/>
        </w:rPr>
        <w:t xml:space="preserve"> A regulation making power exists under</w:t>
      </w:r>
      <w:r w:rsidR="00694B5C">
        <w:rPr>
          <w:rFonts w:ascii="Arial" w:hAnsi="Arial" w:cs="Arial"/>
          <w:sz w:val="18"/>
          <w:szCs w:val="18"/>
        </w:rPr>
        <w:t xml:space="preserve"> section 11 of</w:t>
      </w:r>
      <w:r w:rsidRPr="00C331E0">
        <w:rPr>
          <w:rFonts w:ascii="Arial" w:hAnsi="Arial" w:cs="Arial"/>
          <w:sz w:val="18"/>
          <w:szCs w:val="18"/>
        </w:rPr>
        <w:t xml:space="preserve"> this Act</w:t>
      </w:r>
      <w:r w:rsidR="00D77143">
        <w:rPr>
          <w:rFonts w:ascii="Arial" w:hAnsi="Arial" w:cs="Arial"/>
          <w:sz w:val="18"/>
          <w:szCs w:val="18"/>
        </w:rPr>
        <w:t>.</w:t>
      </w:r>
    </w:p>
  </w:footnote>
  <w:footnote w:id="12">
    <w:p w:rsidR="002A3426" w:rsidRPr="00C331E0" w:rsidRDefault="00A73CAC">
      <w:pPr>
        <w:pStyle w:val="FootnoteText"/>
        <w:rPr>
          <w:rFonts w:ascii="Arial" w:hAnsi="Arial" w:cs="Arial"/>
          <w:sz w:val="18"/>
          <w:szCs w:val="18"/>
        </w:rPr>
      </w:pPr>
      <w:r w:rsidRPr="00C331E0">
        <w:rPr>
          <w:rStyle w:val="FootnoteReference"/>
          <w:rFonts w:ascii="Arial" w:hAnsi="Arial" w:cs="Arial"/>
          <w:sz w:val="18"/>
          <w:szCs w:val="18"/>
        </w:rPr>
        <w:footnoteRef/>
      </w:r>
      <w:r w:rsidRPr="00C331E0">
        <w:rPr>
          <w:rFonts w:ascii="Arial" w:hAnsi="Arial" w:cs="Arial"/>
          <w:sz w:val="18"/>
          <w:szCs w:val="18"/>
        </w:rPr>
        <w:t xml:space="preserve"> A regulation making power exists under </w:t>
      </w:r>
      <w:r w:rsidR="00694B5C">
        <w:rPr>
          <w:rFonts w:ascii="Arial" w:hAnsi="Arial" w:cs="Arial"/>
          <w:sz w:val="18"/>
          <w:szCs w:val="18"/>
        </w:rPr>
        <w:t xml:space="preserve">sections 11 and 15A of </w:t>
      </w:r>
      <w:r w:rsidRPr="00C331E0">
        <w:rPr>
          <w:rFonts w:ascii="Arial" w:hAnsi="Arial" w:cs="Arial"/>
          <w:sz w:val="18"/>
          <w:szCs w:val="18"/>
        </w:rPr>
        <w:t>this Act</w:t>
      </w:r>
      <w:r w:rsidR="00D77143">
        <w:rPr>
          <w:rFonts w:ascii="Arial" w:hAnsi="Arial" w:cs="Arial"/>
          <w:sz w:val="18"/>
          <w:szCs w:val="18"/>
        </w:rPr>
        <w:t>.</w:t>
      </w:r>
    </w:p>
  </w:footnote>
  <w:footnote w:id="13">
    <w:p w:rsidR="002A3426" w:rsidRDefault="00A73CAC">
      <w:pPr>
        <w:pStyle w:val="FootnoteText"/>
        <w:rPr>
          <w:rFonts w:asciiTheme="majorHAnsi" w:hAnsiTheme="majorHAnsi" w:cstheme="majorHAnsi"/>
        </w:rPr>
      </w:pPr>
      <w:r w:rsidRPr="00C331E0">
        <w:rPr>
          <w:rStyle w:val="FootnoteReference"/>
          <w:rFonts w:ascii="Arial" w:hAnsi="Arial" w:cs="Arial"/>
          <w:sz w:val="18"/>
          <w:szCs w:val="18"/>
        </w:rPr>
        <w:footnoteRef/>
      </w:r>
      <w:r w:rsidRPr="00C331E0">
        <w:rPr>
          <w:rFonts w:ascii="Arial" w:hAnsi="Arial" w:cs="Arial"/>
          <w:sz w:val="18"/>
          <w:szCs w:val="18"/>
        </w:rPr>
        <w:t xml:space="preserve"> A regulation making power exists under </w:t>
      </w:r>
      <w:r w:rsidR="00FD1B8A">
        <w:rPr>
          <w:rFonts w:ascii="Arial" w:hAnsi="Arial" w:cs="Arial"/>
          <w:sz w:val="18"/>
          <w:szCs w:val="18"/>
        </w:rPr>
        <w:t xml:space="preserve">section 18 of </w:t>
      </w:r>
      <w:r w:rsidRPr="00C331E0">
        <w:rPr>
          <w:rFonts w:ascii="Arial" w:hAnsi="Arial" w:cs="Arial"/>
          <w:sz w:val="18"/>
          <w:szCs w:val="18"/>
        </w:rPr>
        <w:t>this Act</w:t>
      </w:r>
      <w:r w:rsidR="00D77143">
        <w:rPr>
          <w:rFonts w:ascii="Arial" w:hAnsi="Arial" w:cs="Arial"/>
          <w:sz w:val="18"/>
          <w:szCs w:val="18"/>
        </w:rPr>
        <w:t>.</w:t>
      </w:r>
    </w:p>
  </w:footnote>
  <w:footnote w:id="14">
    <w:p w:rsidR="002A3426" w:rsidRPr="00C331E0" w:rsidRDefault="00A73CAC">
      <w:pPr>
        <w:pStyle w:val="FootnoteText"/>
        <w:rPr>
          <w:rFonts w:asciiTheme="majorHAnsi" w:hAnsiTheme="majorHAnsi" w:cstheme="majorHAnsi"/>
          <w:sz w:val="18"/>
          <w:szCs w:val="18"/>
        </w:rPr>
      </w:pPr>
      <w:r w:rsidRPr="00C331E0">
        <w:rPr>
          <w:rStyle w:val="FootnoteReference"/>
          <w:rFonts w:asciiTheme="majorHAnsi" w:hAnsiTheme="majorHAnsi" w:cstheme="majorHAnsi"/>
          <w:sz w:val="18"/>
          <w:szCs w:val="18"/>
        </w:rPr>
        <w:footnoteRef/>
      </w:r>
      <w:r w:rsidRPr="00C331E0">
        <w:rPr>
          <w:rFonts w:asciiTheme="majorHAnsi" w:hAnsiTheme="majorHAnsi" w:cstheme="majorHAnsi"/>
          <w:sz w:val="18"/>
          <w:szCs w:val="18"/>
        </w:rPr>
        <w:t xml:space="preserve"> </w:t>
      </w:r>
      <w:r w:rsidRPr="00D11632">
        <w:rPr>
          <w:rFonts w:asciiTheme="majorHAnsi" w:hAnsiTheme="majorHAnsi" w:cstheme="majorHAnsi"/>
          <w:sz w:val="18"/>
          <w:szCs w:val="18"/>
        </w:rPr>
        <w:t xml:space="preserve">A regulation making power exists under </w:t>
      </w:r>
      <w:r w:rsidR="009213C9">
        <w:rPr>
          <w:rFonts w:asciiTheme="majorHAnsi" w:hAnsiTheme="majorHAnsi" w:cstheme="majorHAnsi"/>
          <w:sz w:val="18"/>
          <w:szCs w:val="18"/>
        </w:rPr>
        <w:t xml:space="preserve">sections 12 and 15 of </w:t>
      </w:r>
      <w:r w:rsidRPr="00D11632">
        <w:rPr>
          <w:rFonts w:asciiTheme="majorHAnsi" w:hAnsiTheme="majorHAnsi" w:cstheme="majorHAnsi"/>
          <w:sz w:val="18"/>
          <w:szCs w:val="18"/>
        </w:rPr>
        <w:t>this Act</w:t>
      </w:r>
      <w:r w:rsidR="00D77143">
        <w:rPr>
          <w:rFonts w:asciiTheme="majorHAnsi" w:hAnsiTheme="majorHAnsi" w:cstheme="majorHAnsi"/>
          <w:sz w:val="18"/>
          <w:szCs w:val="18"/>
        </w:rPr>
        <w:t>.</w:t>
      </w:r>
    </w:p>
  </w:footnote>
  <w:footnote w:id="15">
    <w:p w:rsidR="002A3426" w:rsidRPr="00C331E0" w:rsidRDefault="00A73CAC">
      <w:pPr>
        <w:pStyle w:val="FootnoteText"/>
        <w:rPr>
          <w:rFonts w:asciiTheme="majorHAnsi" w:hAnsiTheme="majorHAnsi" w:cstheme="majorHAnsi"/>
          <w:sz w:val="18"/>
          <w:szCs w:val="18"/>
        </w:rPr>
      </w:pPr>
      <w:r w:rsidRPr="00C331E0">
        <w:rPr>
          <w:rStyle w:val="FootnoteReference"/>
          <w:rFonts w:asciiTheme="majorHAnsi" w:hAnsiTheme="majorHAnsi" w:cstheme="majorHAnsi"/>
          <w:sz w:val="18"/>
          <w:szCs w:val="18"/>
        </w:rPr>
        <w:footnoteRef/>
      </w:r>
      <w:r w:rsidRPr="00C331E0">
        <w:rPr>
          <w:rFonts w:asciiTheme="majorHAnsi" w:hAnsiTheme="majorHAnsi" w:cstheme="majorHAnsi"/>
          <w:sz w:val="18"/>
          <w:szCs w:val="18"/>
        </w:rPr>
        <w:t xml:space="preserve"> </w:t>
      </w:r>
      <w:r w:rsidRPr="00D11632">
        <w:rPr>
          <w:rFonts w:asciiTheme="majorHAnsi" w:hAnsiTheme="majorHAnsi" w:cstheme="majorHAnsi"/>
          <w:sz w:val="18"/>
          <w:szCs w:val="18"/>
        </w:rPr>
        <w:t xml:space="preserve">A regulation making power exists under </w:t>
      </w:r>
      <w:r w:rsidR="00B74C7A">
        <w:rPr>
          <w:rFonts w:asciiTheme="majorHAnsi" w:hAnsiTheme="majorHAnsi" w:cstheme="majorHAnsi"/>
          <w:sz w:val="18"/>
          <w:szCs w:val="18"/>
        </w:rPr>
        <w:t xml:space="preserve">section 16 of </w:t>
      </w:r>
      <w:r w:rsidRPr="00D11632">
        <w:rPr>
          <w:rFonts w:asciiTheme="majorHAnsi" w:hAnsiTheme="majorHAnsi" w:cstheme="majorHAnsi"/>
          <w:sz w:val="18"/>
          <w:szCs w:val="18"/>
        </w:rPr>
        <w:t>this Act</w:t>
      </w:r>
      <w:r w:rsidR="00D77143">
        <w:rPr>
          <w:rFonts w:asciiTheme="majorHAnsi" w:hAnsiTheme="majorHAnsi" w:cstheme="majorHAnsi"/>
          <w:sz w:val="18"/>
          <w:szCs w:val="18"/>
        </w:rPr>
        <w:t>.</w:t>
      </w:r>
    </w:p>
  </w:footnote>
  <w:footnote w:id="16">
    <w:p w:rsidR="002A3426" w:rsidRPr="00C331E0" w:rsidRDefault="00A73CAC">
      <w:pPr>
        <w:pStyle w:val="FootnoteText"/>
        <w:rPr>
          <w:rFonts w:asciiTheme="majorHAnsi" w:hAnsiTheme="majorHAnsi" w:cstheme="majorHAnsi"/>
          <w:sz w:val="18"/>
          <w:szCs w:val="18"/>
        </w:rPr>
      </w:pPr>
      <w:r w:rsidRPr="00C331E0">
        <w:rPr>
          <w:rStyle w:val="FootnoteReference"/>
          <w:rFonts w:asciiTheme="majorHAnsi" w:hAnsiTheme="majorHAnsi" w:cstheme="majorHAnsi"/>
          <w:sz w:val="18"/>
          <w:szCs w:val="18"/>
        </w:rPr>
        <w:footnoteRef/>
      </w:r>
      <w:r w:rsidRPr="00C331E0">
        <w:rPr>
          <w:rStyle w:val="FootnoteReference"/>
          <w:rFonts w:asciiTheme="majorHAnsi" w:hAnsiTheme="majorHAnsi" w:cstheme="majorHAnsi"/>
          <w:sz w:val="18"/>
          <w:szCs w:val="18"/>
        </w:rPr>
        <w:t xml:space="preserve"> </w:t>
      </w:r>
      <w:r w:rsidRPr="00D11632">
        <w:rPr>
          <w:rFonts w:asciiTheme="majorHAnsi" w:hAnsiTheme="majorHAnsi" w:cstheme="majorHAnsi"/>
          <w:sz w:val="18"/>
          <w:szCs w:val="18"/>
        </w:rPr>
        <w:t xml:space="preserve">A regulation making power exists under </w:t>
      </w:r>
      <w:r w:rsidR="009213C9">
        <w:rPr>
          <w:rFonts w:asciiTheme="majorHAnsi" w:hAnsiTheme="majorHAnsi" w:cstheme="majorHAnsi"/>
          <w:sz w:val="18"/>
          <w:szCs w:val="18"/>
        </w:rPr>
        <w:t xml:space="preserve">section 16 of </w:t>
      </w:r>
      <w:r w:rsidRPr="00D11632">
        <w:rPr>
          <w:rFonts w:asciiTheme="majorHAnsi" w:hAnsiTheme="majorHAnsi" w:cstheme="majorHAnsi"/>
          <w:sz w:val="18"/>
          <w:szCs w:val="18"/>
        </w:rPr>
        <w:t>this Act</w:t>
      </w:r>
      <w:r w:rsidR="00D77143">
        <w:rPr>
          <w:rFonts w:asciiTheme="majorHAnsi" w:hAnsiTheme="majorHAnsi" w:cstheme="majorHAnsi"/>
          <w:sz w:val="18"/>
          <w:szCs w:val="18"/>
        </w:rPr>
        <w:t>.</w:t>
      </w:r>
    </w:p>
  </w:footnote>
  <w:footnote w:id="17">
    <w:p w:rsidR="002A3426" w:rsidRDefault="00A73CAC">
      <w:pPr>
        <w:pStyle w:val="FootnoteText"/>
        <w:rPr>
          <w:rFonts w:asciiTheme="majorHAnsi" w:hAnsiTheme="majorHAnsi" w:cstheme="majorHAnsi"/>
          <w:sz w:val="18"/>
        </w:rPr>
      </w:pPr>
      <w:r w:rsidRPr="00D11632">
        <w:rPr>
          <w:rStyle w:val="FootnoteReference"/>
          <w:rFonts w:asciiTheme="majorHAnsi" w:hAnsiTheme="majorHAnsi" w:cstheme="majorHAnsi"/>
          <w:sz w:val="18"/>
          <w:szCs w:val="18"/>
        </w:rPr>
        <w:footnoteRef/>
      </w:r>
      <w:r w:rsidRPr="00D11632">
        <w:rPr>
          <w:rFonts w:asciiTheme="majorHAnsi" w:hAnsiTheme="majorHAnsi" w:cstheme="majorHAnsi"/>
          <w:sz w:val="18"/>
          <w:szCs w:val="18"/>
        </w:rPr>
        <w:t xml:space="preserve"> Please note other jurisdictional electricity legislation may also be relevant including energy efficiency legislation and safety legislation</w:t>
      </w:r>
      <w:r w:rsidR="00D77143">
        <w:rPr>
          <w:rFonts w:asciiTheme="majorHAnsi" w:hAnsiTheme="majorHAnsi" w:cstheme="majorHAnsi"/>
          <w:sz w:val="18"/>
          <w:szCs w:val="18"/>
        </w:rPr>
        <w:t>.</w:t>
      </w:r>
    </w:p>
  </w:footnote>
  <w:footnote w:id="18">
    <w:p w:rsidR="002A3426" w:rsidRDefault="00A73CAC">
      <w:pPr>
        <w:pStyle w:val="FootnoteText"/>
        <w:rPr>
          <w:rFonts w:asciiTheme="majorHAnsi" w:hAnsiTheme="majorHAnsi" w:cstheme="majorHAnsi"/>
          <w:sz w:val="18"/>
        </w:rPr>
      </w:pPr>
      <w:r>
        <w:rPr>
          <w:rStyle w:val="FootnoteReference"/>
          <w:rFonts w:asciiTheme="majorHAnsi" w:hAnsiTheme="majorHAnsi" w:cstheme="majorHAnsi"/>
          <w:sz w:val="18"/>
        </w:rPr>
        <w:footnoteRef/>
      </w:r>
      <w:r>
        <w:rPr>
          <w:rFonts w:asciiTheme="majorHAnsi" w:hAnsiTheme="majorHAnsi" w:cstheme="majorHAnsi"/>
          <w:sz w:val="18"/>
        </w:rPr>
        <w:t xml:space="preserve"> </w:t>
      </w:r>
      <w:r w:rsidR="002C306E">
        <w:rPr>
          <w:rFonts w:asciiTheme="majorHAnsi" w:hAnsiTheme="majorHAnsi" w:cstheme="majorHAnsi"/>
          <w:sz w:val="18"/>
        </w:rPr>
        <w:t>P</w:t>
      </w:r>
      <w:r>
        <w:rPr>
          <w:rFonts w:asciiTheme="majorHAnsi" w:hAnsiTheme="majorHAnsi" w:cstheme="majorHAnsi"/>
          <w:sz w:val="18"/>
        </w:rPr>
        <w:t>lease note other jurisdictional gas legislation may also be relevant including safety legislation.</w:t>
      </w:r>
      <w:r w:rsidR="002C306E">
        <w:rPr>
          <w:rFonts w:asciiTheme="majorHAnsi" w:hAnsiTheme="majorHAnsi" w:cstheme="majorHAnsi"/>
          <w:sz w:val="18"/>
        </w:rPr>
        <w:t xml:space="preserve"> The</w:t>
      </w:r>
      <w:r>
        <w:rPr>
          <w:rFonts w:asciiTheme="majorHAnsi" w:hAnsiTheme="majorHAnsi" w:cstheme="majorHAnsi"/>
          <w:sz w:val="18"/>
        </w:rPr>
        <w:t xml:space="preserve"> </w:t>
      </w:r>
      <w:r w:rsidR="002C306E">
        <w:rPr>
          <w:rFonts w:asciiTheme="majorHAnsi" w:hAnsiTheme="majorHAnsi" w:cstheme="majorHAnsi"/>
          <w:sz w:val="18"/>
        </w:rPr>
        <w:t xml:space="preserve">NERL does not apply to gas in </w:t>
      </w:r>
      <w:proofErr w:type="gramStart"/>
      <w:r w:rsidR="002C306E">
        <w:rPr>
          <w:rFonts w:asciiTheme="majorHAnsi" w:hAnsiTheme="majorHAnsi" w:cstheme="majorHAnsi"/>
          <w:sz w:val="18"/>
        </w:rPr>
        <w:t>Tasmania,</w:t>
      </w:r>
      <w:proofErr w:type="gramEnd"/>
      <w:r w:rsidR="002C306E">
        <w:rPr>
          <w:rFonts w:asciiTheme="majorHAnsi" w:hAnsiTheme="majorHAnsi" w:cstheme="majorHAnsi"/>
          <w:sz w:val="18"/>
        </w:rPr>
        <w:t xml:space="preserve"> s</w:t>
      </w:r>
      <w:r>
        <w:rPr>
          <w:rFonts w:asciiTheme="majorHAnsi" w:hAnsiTheme="majorHAnsi" w:cstheme="majorHAnsi"/>
          <w:sz w:val="18"/>
        </w:rPr>
        <w:t xml:space="preserve">ee section 16 of the </w:t>
      </w:r>
      <w:r w:rsidRPr="009E7A78">
        <w:rPr>
          <w:rFonts w:asciiTheme="majorHAnsi" w:hAnsiTheme="majorHAnsi" w:cstheme="majorHAnsi"/>
          <w:i/>
          <w:sz w:val="18"/>
        </w:rPr>
        <w:t>National Energy Retail Law (Tasmania) Act 2012</w:t>
      </w:r>
      <w:r>
        <w:rPr>
          <w:rFonts w:asciiTheme="majorHAnsi" w:hAnsiTheme="majorHAnsi" w:cstheme="majorHAnsi"/>
          <w:sz w:val="18"/>
        </w:rPr>
        <w:t xml:space="preserve"> (</w:t>
      </w:r>
      <w:proofErr w:type="spellStart"/>
      <w:r>
        <w:rPr>
          <w:rFonts w:asciiTheme="majorHAnsi" w:hAnsiTheme="majorHAnsi" w:cstheme="majorHAnsi"/>
          <w:sz w:val="18"/>
        </w:rPr>
        <w:t>Tas</w:t>
      </w:r>
      <w:proofErr w:type="spellEnd"/>
      <w:r>
        <w:rPr>
          <w:rFonts w:asciiTheme="majorHAnsi" w:hAnsiTheme="majorHAnsi" w:cstheme="majorHAnsi"/>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26" w:rsidRDefault="00A73CAC">
    <w:pPr>
      <w:pStyle w:val="Header"/>
      <w:jc w:val="center"/>
    </w:pPr>
    <w:r>
      <w:fldChar w:fldCharType="begin"/>
    </w:r>
    <w:r>
      <w:instrText xml:space="preserve"> PAGE  \* Arabic  \* MERGEFORMAT </w:instrText>
    </w:r>
    <w:r>
      <w:fldChar w:fldCharType="separate"/>
    </w:r>
    <w:r w:rsidR="00F56EEC">
      <w:rPr>
        <w:noProof/>
      </w:rPr>
      <w:t>4</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26" w:rsidRDefault="00A73CAC" w:rsidP="00DE2C5C">
    <w:pPr>
      <w:pStyle w:val="METitle1"/>
      <w:jc w:val="center"/>
    </w:pPr>
    <w:r>
      <w:t>Interaction between National Energy Customer Framework and jurisdictional statutory instruments</w:t>
    </w:r>
  </w:p>
  <w:p w:rsidR="002A3426" w:rsidRDefault="00A73CAC" w:rsidP="00DE2C5C">
    <w:pPr>
      <w:pStyle w:val="METitle1"/>
      <w:ind w:left="3686"/>
    </w:pPr>
    <w:proofErr w:type="gramStart"/>
    <w:r>
      <w:t>for</w:t>
    </w:r>
    <w:proofErr w:type="gramEnd"/>
    <w:r>
      <w:t xml:space="preserve"> ACT, NSW, Qld, SA, Victoria and Tasmania (as at </w:t>
    </w:r>
    <w:r w:rsidR="00562623">
      <w:t xml:space="preserve">1 </w:t>
    </w:r>
    <w:r w:rsidR="005A2C10">
      <w:t>April</w:t>
    </w:r>
    <w:r w:rsidR="00DE2C5C">
      <w:t xml:space="preserve"> 2019</w:t>
    </w:r>
    <w:r>
      <w:t>)</w:t>
    </w:r>
  </w:p>
  <w:p w:rsidR="002A3426" w:rsidRDefault="002A3426"/>
  <w:p w:rsidR="002A3426" w:rsidRDefault="002A3426">
    <w:pPr>
      <w:pStyle w:val="METitle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801B0"/>
    <w:multiLevelType w:val="multilevel"/>
    <w:tmpl w:val="D44857B4"/>
    <w:styleLink w:val="MENumber"/>
    <w:lvl w:ilvl="0">
      <w:start w:val="1"/>
      <w:numFmt w:val="decimal"/>
      <w:pStyle w:val="MENumber1"/>
      <w:lvlText w:val="%1."/>
      <w:lvlJc w:val="left"/>
      <w:pPr>
        <w:ind w:left="680" w:hanging="680"/>
      </w:pPr>
      <w:rPr>
        <w:rFonts w:hint="default"/>
      </w:rPr>
    </w:lvl>
    <w:lvl w:ilvl="1">
      <w:start w:val="1"/>
      <w:numFmt w:val="lowerLetter"/>
      <w:pStyle w:val="MENumber2"/>
      <w:lvlText w:val="(%2)"/>
      <w:lvlJc w:val="left"/>
      <w:pPr>
        <w:ind w:left="1360" w:hanging="680"/>
      </w:pPr>
      <w:rPr>
        <w:rFonts w:hint="default"/>
      </w:rPr>
    </w:lvl>
    <w:lvl w:ilvl="2">
      <w:start w:val="1"/>
      <w:numFmt w:val="lowerRoman"/>
      <w:pStyle w:val="MENumber3"/>
      <w:lvlText w:val="(%3)"/>
      <w:lvlJc w:val="left"/>
      <w:pPr>
        <w:ind w:left="2040" w:hanging="680"/>
      </w:pPr>
      <w:rPr>
        <w:rFonts w:hint="default"/>
      </w:rPr>
    </w:lvl>
    <w:lvl w:ilvl="3">
      <w:start w:val="1"/>
      <w:numFmt w:val="upperLetter"/>
      <w:pStyle w:val="MENumber4"/>
      <w:lvlText w:val="(%4)"/>
      <w:lvlJc w:val="left"/>
      <w:pPr>
        <w:ind w:left="2720" w:hanging="680"/>
      </w:pPr>
      <w:rPr>
        <w:rFonts w:hint="default"/>
      </w:rPr>
    </w:lvl>
    <w:lvl w:ilvl="4">
      <w:start w:val="1"/>
      <w:numFmt w:val="upperRoman"/>
      <w:pStyle w:val="MENumber5"/>
      <w:lvlText w:val="(%5)"/>
      <w:lvlJc w:val="left"/>
      <w:pPr>
        <w:ind w:left="3400" w:hanging="680"/>
      </w:pPr>
      <w:rPr>
        <w:rFonts w:hint="default"/>
      </w:rPr>
    </w:lvl>
    <w:lvl w:ilvl="5">
      <w:start w:val="1"/>
      <w:numFmt w:val="decimal"/>
      <w:pStyle w:val="MENumber6"/>
      <w:lvlText w:val="(%6)"/>
      <w:lvlJc w:val="left"/>
      <w:pPr>
        <w:ind w:left="4080" w:hanging="680"/>
      </w:pPr>
      <w:rPr>
        <w:rFonts w:hint="default"/>
      </w:rPr>
    </w:lvl>
    <w:lvl w:ilvl="6">
      <w:start w:val="1"/>
      <w:numFmt w:val="none"/>
      <w:lvlText w:val=""/>
      <w:lvlJc w:val="left"/>
      <w:pPr>
        <w:ind w:left="4760" w:hanging="680"/>
      </w:pPr>
      <w:rPr>
        <w:rFonts w:hint="default"/>
      </w:rPr>
    </w:lvl>
    <w:lvl w:ilvl="7">
      <w:start w:val="1"/>
      <w:numFmt w:val="none"/>
      <w:lvlText w:val=""/>
      <w:lvlJc w:val="left"/>
      <w:pPr>
        <w:ind w:left="5440" w:hanging="680"/>
      </w:pPr>
      <w:rPr>
        <w:rFonts w:hint="default"/>
      </w:rPr>
    </w:lvl>
    <w:lvl w:ilvl="8">
      <w:start w:val="1"/>
      <w:numFmt w:val="none"/>
      <w:lvlText w:val=""/>
      <w:lvlJc w:val="left"/>
      <w:pPr>
        <w:ind w:left="6120" w:hanging="680"/>
      </w:pPr>
      <w:rPr>
        <w:rFonts w:hint="default"/>
      </w:rPr>
    </w:lvl>
  </w:abstractNum>
  <w:abstractNum w:abstractNumId="1">
    <w:nsid w:val="0CA26562"/>
    <w:multiLevelType w:val="multilevel"/>
    <w:tmpl w:val="FEE40950"/>
    <w:styleLink w:val="MENoIndent"/>
    <w:lvl w:ilvl="0">
      <w:start w:val="1"/>
      <w:numFmt w:val="decimal"/>
      <w:pStyle w:val="MENoIndent1"/>
      <w:suff w:val="space"/>
      <w:lvlText w:val="%1."/>
      <w:lvlJc w:val="left"/>
      <w:pPr>
        <w:ind w:left="0" w:firstLine="0"/>
      </w:pPr>
      <w:rPr>
        <w:rFonts w:hint="default"/>
      </w:rPr>
    </w:lvl>
    <w:lvl w:ilvl="1">
      <w:start w:val="1"/>
      <w:numFmt w:val="decimal"/>
      <w:pStyle w:val="MENoIndent2"/>
      <w:suff w:val="space"/>
      <w:lvlText w:val="%1.%2"/>
      <w:lvlJc w:val="left"/>
      <w:pPr>
        <w:ind w:left="0" w:firstLine="0"/>
      </w:pPr>
      <w:rPr>
        <w:rFonts w:hint="default"/>
      </w:rPr>
    </w:lvl>
    <w:lvl w:ilvl="2">
      <w:start w:val="1"/>
      <w:numFmt w:val="lowerLetter"/>
      <w:pStyle w:val="MENoIndent3"/>
      <w:suff w:val="space"/>
      <w:lvlText w:val="(%3)"/>
      <w:lvlJc w:val="left"/>
      <w:pPr>
        <w:ind w:left="0" w:firstLine="0"/>
      </w:pPr>
      <w:rPr>
        <w:rFonts w:hint="default"/>
      </w:rPr>
    </w:lvl>
    <w:lvl w:ilvl="3">
      <w:start w:val="1"/>
      <w:numFmt w:val="lowerRoman"/>
      <w:pStyle w:val="MENoIndent4"/>
      <w:suff w:val="space"/>
      <w:lvlText w:val="(%4)"/>
      <w:lvlJc w:val="left"/>
      <w:pPr>
        <w:ind w:left="0" w:firstLine="0"/>
      </w:pPr>
      <w:rPr>
        <w:rFonts w:hint="default"/>
      </w:rPr>
    </w:lvl>
    <w:lvl w:ilvl="4">
      <w:start w:val="1"/>
      <w:numFmt w:val="upperLetter"/>
      <w:pStyle w:val="MENoIndent5"/>
      <w:suff w:val="space"/>
      <w:lvlText w:val="(%5)"/>
      <w:lvlJc w:val="left"/>
      <w:pPr>
        <w:ind w:left="0" w:firstLine="0"/>
      </w:pPr>
      <w:rPr>
        <w:rFonts w:hint="default"/>
      </w:rPr>
    </w:lvl>
    <w:lvl w:ilvl="5">
      <w:start w:val="1"/>
      <w:numFmt w:val="upperRoman"/>
      <w:pStyle w:val="MENoIndent6"/>
      <w:suff w:val="space"/>
      <w:lvlText w:val="(%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nsid w:val="1A0556FC"/>
    <w:multiLevelType w:val="multilevel"/>
    <w:tmpl w:val="646027BC"/>
    <w:styleLink w:val="Legal"/>
    <w:lvl w:ilvl="0">
      <w:start w:val="1"/>
      <w:numFmt w:val="decimal"/>
      <w:pStyle w:val="Legal1"/>
      <w:lvlText w:val="%1."/>
      <w:lvlJc w:val="left"/>
      <w:pPr>
        <w:ind w:left="680" w:hanging="680"/>
      </w:pPr>
      <w:rPr>
        <w:rFonts w:hint="default"/>
      </w:rPr>
    </w:lvl>
    <w:lvl w:ilvl="1">
      <w:start w:val="1"/>
      <w:numFmt w:val="decimal"/>
      <w:pStyle w:val="Legal2"/>
      <w:lvlText w:val="%1.%2"/>
      <w:lvlJc w:val="left"/>
      <w:pPr>
        <w:ind w:left="680" w:hanging="680"/>
      </w:pPr>
      <w:rPr>
        <w:rFonts w:hint="default"/>
      </w:rPr>
    </w:lvl>
    <w:lvl w:ilvl="2">
      <w:start w:val="1"/>
      <w:numFmt w:val="decimal"/>
      <w:pStyle w:val="Legal3"/>
      <w:lvlText w:val="%1.%2.%3"/>
      <w:lvlJc w:val="left"/>
      <w:pPr>
        <w:ind w:left="680" w:hanging="680"/>
      </w:pPr>
      <w:rPr>
        <w:rFonts w:hint="default"/>
      </w:rPr>
    </w:lvl>
    <w:lvl w:ilvl="3">
      <w:start w:val="1"/>
      <w:numFmt w:val="decimal"/>
      <w:pStyle w:val="Legal4"/>
      <w:lvlText w:val="%1.%2.%3.%4"/>
      <w:lvlJc w:val="left"/>
      <w:pPr>
        <w:ind w:left="680" w:hanging="680"/>
      </w:pPr>
      <w:rPr>
        <w:rFonts w:hint="default"/>
      </w:rPr>
    </w:lvl>
    <w:lvl w:ilvl="4">
      <w:start w:val="1"/>
      <w:numFmt w:val="decimal"/>
      <w:pStyle w:val="Legal5"/>
      <w:lvlText w:val="%1.%2.%3.%4.%5"/>
      <w:lvlJc w:val="left"/>
      <w:pPr>
        <w:ind w:left="680" w:hanging="680"/>
      </w:pPr>
      <w:rPr>
        <w:rFonts w:hint="default"/>
      </w:rPr>
    </w:lvl>
    <w:lvl w:ilvl="5">
      <w:start w:val="1"/>
      <w:numFmt w:val="decimal"/>
      <w:pStyle w:val="Legal6"/>
      <w:lvlText w:val="%1.%2.%3.%4.%5.%6"/>
      <w:lvlJc w:val="left"/>
      <w:pPr>
        <w:ind w:left="680" w:hanging="680"/>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3">
    <w:nsid w:val="39EB3E05"/>
    <w:multiLevelType w:val="multilevel"/>
    <w:tmpl w:val="A366F262"/>
    <w:styleLink w:val="MEBasic"/>
    <w:lvl w:ilvl="0">
      <w:start w:val="1"/>
      <w:numFmt w:val="lowerLetter"/>
      <w:pStyle w:val="MEBasic1"/>
      <w:lvlText w:val="(%1)"/>
      <w:lvlJc w:val="left"/>
      <w:pPr>
        <w:ind w:left="680" w:hanging="680"/>
      </w:pPr>
      <w:rPr>
        <w:rFonts w:hint="default"/>
      </w:rPr>
    </w:lvl>
    <w:lvl w:ilvl="1">
      <w:start w:val="1"/>
      <w:numFmt w:val="lowerRoman"/>
      <w:pStyle w:val="MEBasic2"/>
      <w:lvlText w:val="(%2)"/>
      <w:lvlJc w:val="left"/>
      <w:pPr>
        <w:ind w:left="1360" w:hanging="680"/>
      </w:pPr>
      <w:rPr>
        <w:rFonts w:hint="default"/>
      </w:rPr>
    </w:lvl>
    <w:lvl w:ilvl="2">
      <w:start w:val="1"/>
      <w:numFmt w:val="upperLetter"/>
      <w:pStyle w:val="MEBasic3"/>
      <w:lvlText w:val="(%3)"/>
      <w:lvlJc w:val="left"/>
      <w:pPr>
        <w:ind w:left="2040" w:hanging="680"/>
      </w:pPr>
      <w:rPr>
        <w:rFonts w:hint="default"/>
      </w:rPr>
    </w:lvl>
    <w:lvl w:ilvl="3">
      <w:start w:val="1"/>
      <w:numFmt w:val="upperRoman"/>
      <w:pStyle w:val="MEBasic4"/>
      <w:lvlText w:val="(%4)"/>
      <w:lvlJc w:val="left"/>
      <w:pPr>
        <w:ind w:left="2720" w:hanging="680"/>
      </w:pPr>
      <w:rPr>
        <w:rFonts w:hint="default"/>
      </w:rPr>
    </w:lvl>
    <w:lvl w:ilvl="4">
      <w:start w:val="1"/>
      <w:numFmt w:val="decimal"/>
      <w:pStyle w:val="MEBasic5"/>
      <w:lvlText w:val="(%5)"/>
      <w:lvlJc w:val="left"/>
      <w:pPr>
        <w:ind w:left="3400" w:hanging="680"/>
      </w:pPr>
      <w:rPr>
        <w:rFonts w:hint="default"/>
      </w:rPr>
    </w:lvl>
    <w:lvl w:ilvl="5">
      <w:start w:val="1"/>
      <w:numFmt w:val="none"/>
      <w:lvlText w:val=""/>
      <w:lvlJc w:val="left"/>
      <w:pPr>
        <w:ind w:left="4080" w:hanging="680"/>
      </w:pPr>
      <w:rPr>
        <w:rFonts w:hint="default"/>
      </w:rPr>
    </w:lvl>
    <w:lvl w:ilvl="6">
      <w:start w:val="1"/>
      <w:numFmt w:val="none"/>
      <w:lvlText w:val=""/>
      <w:lvlJc w:val="left"/>
      <w:pPr>
        <w:ind w:left="4760" w:hanging="680"/>
      </w:pPr>
      <w:rPr>
        <w:rFonts w:hint="default"/>
      </w:rPr>
    </w:lvl>
    <w:lvl w:ilvl="7">
      <w:start w:val="1"/>
      <w:numFmt w:val="none"/>
      <w:lvlText w:val=""/>
      <w:lvlJc w:val="left"/>
      <w:pPr>
        <w:ind w:left="5440" w:hanging="680"/>
      </w:pPr>
      <w:rPr>
        <w:rFonts w:hint="default"/>
      </w:rPr>
    </w:lvl>
    <w:lvl w:ilvl="8">
      <w:start w:val="1"/>
      <w:numFmt w:val="none"/>
      <w:lvlText w:val=""/>
      <w:lvlJc w:val="left"/>
      <w:pPr>
        <w:ind w:left="6120" w:hanging="680"/>
      </w:pPr>
      <w:rPr>
        <w:rFonts w:hint="default"/>
      </w:rPr>
    </w:lvl>
  </w:abstractNum>
  <w:abstractNum w:abstractNumId="4">
    <w:nsid w:val="5B5E5CD5"/>
    <w:multiLevelType w:val="multilevel"/>
    <w:tmpl w:val="D44857B4"/>
    <w:numStyleLink w:val="MENumber"/>
  </w:abstractNum>
  <w:abstractNum w:abstractNumId="5">
    <w:nsid w:val="6D022323"/>
    <w:multiLevelType w:val="multilevel"/>
    <w:tmpl w:val="31341944"/>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041"/>
        </w:tabs>
        <w:ind w:left="2722" w:hanging="681"/>
      </w:pPr>
      <w:rPr>
        <w:rFonts w:hint="default"/>
      </w:rPr>
    </w:lvl>
    <w:lvl w:ilvl="5">
      <w:start w:val="1"/>
      <w:numFmt w:val="upperRoman"/>
      <w:pStyle w:val="MELegal6"/>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536"/>
        </w:tabs>
        <w:ind w:left="0" w:firstLine="0"/>
      </w:pPr>
      <w:rPr>
        <w:rFonts w:hint="default"/>
      </w:rPr>
    </w:lvl>
  </w:abstractNum>
  <w:num w:numId="1">
    <w:abstractNumId w:val="5"/>
    <w:lvlOverride w:ilvl="2">
      <w:lvl w:ilvl="2">
        <w:start w:val="1"/>
        <w:numFmt w:val="lowerLetter"/>
        <w:pStyle w:val="MELegal3"/>
        <w:lvlText w:val="(%3)"/>
        <w:lvlJc w:val="left"/>
        <w:pPr>
          <w:ind w:left="1361" w:hanging="681"/>
        </w:pPr>
        <w:rPr>
          <w:rFonts w:asciiTheme="majorHAnsi" w:hAnsiTheme="majorHAnsi" w:cstheme="majorHAnsi" w:hint="default"/>
          <w:sz w:val="22"/>
          <w:szCs w:val="22"/>
        </w:rPr>
      </w:lvl>
    </w:lvlOverride>
  </w:num>
  <w:num w:numId="2">
    <w:abstractNumId w:val="3"/>
  </w:num>
  <w:num w:numId="3">
    <w:abstractNumId w:val="1"/>
  </w:num>
  <w:num w:numId="4">
    <w:abstractNumId w:val="0"/>
  </w:num>
  <w:num w:numId="5">
    <w:abstractNumId w:val="2"/>
  </w:num>
  <w:num w:numId="6">
    <w:abstractNumId w:val="4"/>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68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2A3426"/>
    <w:rsid w:val="0003131C"/>
    <w:rsid w:val="00107619"/>
    <w:rsid w:val="00181EBC"/>
    <w:rsid w:val="001F3AE9"/>
    <w:rsid w:val="00211E12"/>
    <w:rsid w:val="00257E14"/>
    <w:rsid w:val="00294674"/>
    <w:rsid w:val="00295A56"/>
    <w:rsid w:val="002A3426"/>
    <w:rsid w:val="002C306E"/>
    <w:rsid w:val="002D5DBF"/>
    <w:rsid w:val="003529FE"/>
    <w:rsid w:val="003D1DED"/>
    <w:rsid w:val="003E678D"/>
    <w:rsid w:val="003F2D5C"/>
    <w:rsid w:val="0041105B"/>
    <w:rsid w:val="00435976"/>
    <w:rsid w:val="00435EEC"/>
    <w:rsid w:val="00447F3A"/>
    <w:rsid w:val="004733D7"/>
    <w:rsid w:val="00482331"/>
    <w:rsid w:val="00562623"/>
    <w:rsid w:val="00593568"/>
    <w:rsid w:val="005A2C10"/>
    <w:rsid w:val="006154D8"/>
    <w:rsid w:val="00694B5C"/>
    <w:rsid w:val="00697232"/>
    <w:rsid w:val="007429E5"/>
    <w:rsid w:val="00757799"/>
    <w:rsid w:val="00761390"/>
    <w:rsid w:val="0077168A"/>
    <w:rsid w:val="007903B8"/>
    <w:rsid w:val="007D6AA5"/>
    <w:rsid w:val="00852713"/>
    <w:rsid w:val="008700EA"/>
    <w:rsid w:val="008821F2"/>
    <w:rsid w:val="008869E7"/>
    <w:rsid w:val="009213C9"/>
    <w:rsid w:val="009C175B"/>
    <w:rsid w:val="009E7A78"/>
    <w:rsid w:val="00A17226"/>
    <w:rsid w:val="00A46691"/>
    <w:rsid w:val="00A73CAC"/>
    <w:rsid w:val="00A8183E"/>
    <w:rsid w:val="00AC34E4"/>
    <w:rsid w:val="00B74C7A"/>
    <w:rsid w:val="00B85076"/>
    <w:rsid w:val="00BE6666"/>
    <w:rsid w:val="00C331E0"/>
    <w:rsid w:val="00C47AE3"/>
    <w:rsid w:val="00C80464"/>
    <w:rsid w:val="00D00807"/>
    <w:rsid w:val="00D11632"/>
    <w:rsid w:val="00D42849"/>
    <w:rsid w:val="00D676A5"/>
    <w:rsid w:val="00D72F07"/>
    <w:rsid w:val="00D77143"/>
    <w:rsid w:val="00DB2FC8"/>
    <w:rsid w:val="00DC7FAD"/>
    <w:rsid w:val="00DD1854"/>
    <w:rsid w:val="00DD4EFB"/>
    <w:rsid w:val="00DE2C5C"/>
    <w:rsid w:val="00EB6EE7"/>
    <w:rsid w:val="00ED68B5"/>
    <w:rsid w:val="00EF63C3"/>
    <w:rsid w:val="00F03024"/>
    <w:rsid w:val="00F1482A"/>
    <w:rsid w:val="00F32DD7"/>
    <w:rsid w:val="00F56EEC"/>
    <w:rsid w:val="00F9227E"/>
    <w:rsid w:val="00FC3769"/>
    <w:rsid w:val="00FD1B8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rules v:ext="edit">
        <o:r id="V:Rule2" type="connector" idref="#_x0000_s106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heme="minorHAnsi" w:hAnsi="Times New (W1)" w:cs="Times New Roman"/>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2"/>
    <w:qFormat/>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Legal1">
    <w:name w:val="ME Legal 1"/>
    <w:basedOn w:val="Normal"/>
    <w:qFormat/>
    <w:pPr>
      <w:numPr>
        <w:numId w:val="1"/>
      </w:numPr>
      <w:spacing w:after="240"/>
      <w:outlineLvl w:val="0"/>
    </w:pPr>
  </w:style>
  <w:style w:type="paragraph" w:customStyle="1" w:styleId="MELegal2">
    <w:name w:val="ME Legal 2"/>
    <w:basedOn w:val="Normal"/>
    <w:qFormat/>
    <w:pPr>
      <w:numPr>
        <w:ilvl w:val="1"/>
        <w:numId w:val="1"/>
      </w:numPr>
      <w:spacing w:after="240"/>
      <w:outlineLvl w:val="1"/>
    </w:pPr>
  </w:style>
  <w:style w:type="paragraph" w:customStyle="1" w:styleId="MELegal3">
    <w:name w:val="ME Legal 3"/>
    <w:basedOn w:val="Normal"/>
    <w:qFormat/>
    <w:pPr>
      <w:numPr>
        <w:ilvl w:val="2"/>
        <w:numId w:val="1"/>
      </w:numPr>
      <w:spacing w:after="240"/>
      <w:outlineLvl w:val="2"/>
    </w:pPr>
  </w:style>
  <w:style w:type="paragraph" w:customStyle="1" w:styleId="MELegal4">
    <w:name w:val="ME Legal 4"/>
    <w:basedOn w:val="Normal"/>
    <w:qFormat/>
    <w:pPr>
      <w:numPr>
        <w:ilvl w:val="3"/>
        <w:numId w:val="1"/>
      </w:numPr>
      <w:spacing w:after="240"/>
      <w:outlineLvl w:val="3"/>
    </w:pPr>
  </w:style>
  <w:style w:type="paragraph" w:customStyle="1" w:styleId="MELegal5">
    <w:name w:val="ME Legal 5"/>
    <w:basedOn w:val="Normal"/>
    <w:qFormat/>
    <w:pPr>
      <w:numPr>
        <w:ilvl w:val="4"/>
        <w:numId w:val="1"/>
      </w:numPr>
      <w:spacing w:after="240"/>
      <w:outlineLvl w:val="4"/>
    </w:pPr>
  </w:style>
  <w:style w:type="paragraph" w:customStyle="1" w:styleId="MELegal6">
    <w:name w:val="ME Legal 6"/>
    <w:basedOn w:val="Normal"/>
    <w:qFormat/>
    <w:pPr>
      <w:numPr>
        <w:ilvl w:val="5"/>
        <w:numId w:val="1"/>
      </w:numPr>
      <w:spacing w:after="240"/>
      <w:outlineLvl w:val="5"/>
    </w:pPr>
  </w:style>
  <w:style w:type="paragraph" w:customStyle="1" w:styleId="MEBasic1">
    <w:name w:val="ME Basic 1"/>
    <w:basedOn w:val="Normal"/>
    <w:uiPriority w:val="1"/>
    <w:qFormat/>
    <w:pPr>
      <w:numPr>
        <w:numId w:val="2"/>
      </w:numPr>
      <w:spacing w:after="240"/>
      <w:outlineLvl w:val="0"/>
    </w:pPr>
  </w:style>
  <w:style w:type="paragraph" w:customStyle="1" w:styleId="METitle1">
    <w:name w:val="ME Title 1"/>
    <w:basedOn w:val="Normal"/>
    <w:next w:val="Normal"/>
    <w:uiPriority w:val="2"/>
    <w:qFormat/>
    <w:pPr>
      <w:keepNext/>
    </w:pPr>
    <w:rPr>
      <w:rFonts w:ascii="Arial" w:hAnsi="Arial"/>
      <w:b/>
    </w:rPr>
  </w:style>
  <w:style w:type="paragraph" w:customStyle="1" w:styleId="METitle2">
    <w:name w:val="ME Title 2"/>
    <w:basedOn w:val="Normal"/>
    <w:next w:val="Normal"/>
    <w:uiPriority w:val="2"/>
    <w:qFormat/>
    <w:pPr>
      <w:keepNext/>
    </w:pPr>
    <w:rPr>
      <w:rFonts w:ascii="Arial" w:hAnsi="Arial"/>
      <w:b/>
      <w:sz w:val="22"/>
    </w:rPr>
  </w:style>
  <w:style w:type="paragraph" w:customStyle="1" w:styleId="METitle3">
    <w:name w:val="ME Title 3"/>
    <w:basedOn w:val="Normal"/>
    <w:next w:val="Normal"/>
    <w:uiPriority w:val="2"/>
    <w:qFormat/>
    <w:pPr>
      <w:keepNext/>
    </w:pPr>
    <w:rPr>
      <w:rFonts w:ascii="Arial" w:hAnsi="Arial"/>
      <w:b/>
      <w:i/>
      <w:sz w:val="22"/>
    </w:rPr>
  </w:style>
  <w:style w:type="paragraph" w:customStyle="1" w:styleId="MEBasic2">
    <w:name w:val="ME Basic 2"/>
    <w:basedOn w:val="Normal"/>
    <w:uiPriority w:val="1"/>
    <w:qFormat/>
    <w:pPr>
      <w:numPr>
        <w:ilvl w:val="1"/>
        <w:numId w:val="2"/>
      </w:numPr>
      <w:spacing w:after="240"/>
      <w:outlineLvl w:val="1"/>
    </w:pPr>
  </w:style>
  <w:style w:type="paragraph" w:styleId="Header">
    <w:name w:val="header"/>
    <w:basedOn w:val="Normal"/>
    <w:link w:val="HeaderChar"/>
    <w:uiPriority w:val="99"/>
    <w:unhideWhenUsed/>
    <w:pPr>
      <w:tabs>
        <w:tab w:val="center" w:pos="4678"/>
        <w:tab w:val="right" w:pos="9356"/>
      </w:tabs>
    </w:pPr>
  </w:style>
  <w:style w:type="character" w:customStyle="1" w:styleId="HeaderChar">
    <w:name w:val="Header Char"/>
    <w:basedOn w:val="DefaultParagraphFont"/>
    <w:link w:val="Header"/>
    <w:uiPriority w:val="99"/>
    <w:rPr>
      <w:rFonts w:ascii="Times New Roman" w:hAnsi="Times New Roman"/>
    </w:rPr>
  </w:style>
  <w:style w:type="paragraph" w:styleId="Footer">
    <w:name w:val="footer"/>
    <w:basedOn w:val="Normal"/>
    <w:link w:val="FooterChar"/>
    <w:uiPriority w:val="99"/>
    <w:semiHidden/>
    <w:unhideWhenUsed/>
    <w:pPr>
      <w:tabs>
        <w:tab w:val="center" w:pos="4513"/>
        <w:tab w:val="right" w:pos="9026"/>
      </w:tabs>
    </w:pPr>
  </w:style>
  <w:style w:type="character" w:customStyle="1" w:styleId="FooterChar">
    <w:name w:val="Footer Char"/>
    <w:basedOn w:val="DefaultParagraphFont"/>
    <w:link w:val="Footer"/>
    <w:uiPriority w:val="99"/>
    <w:semiHidden/>
  </w:style>
  <w:style w:type="paragraph" w:styleId="ListParagraph">
    <w:name w:val="List Paragraph"/>
    <w:basedOn w:val="Normal"/>
    <w:uiPriority w:val="34"/>
    <w:unhideWhenUsed/>
    <w:qFormat/>
    <w:pPr>
      <w:ind w:left="720"/>
    </w:pPr>
  </w:style>
  <w:style w:type="paragraph" w:customStyle="1" w:styleId="MEChapterheading">
    <w:name w:val="ME Chapter heading"/>
    <w:basedOn w:val="Normal"/>
    <w:next w:val="Normal"/>
    <w:uiPriority w:val="6"/>
    <w:qFormat/>
    <w:pPr>
      <w:pBdr>
        <w:bottom w:val="single" w:sz="4" w:space="1" w:color="auto"/>
      </w:pBdr>
      <w:spacing w:before="140" w:after="480" w:line="480" w:lineRule="exact"/>
      <w:outlineLvl w:val="0"/>
    </w:pPr>
    <w:rPr>
      <w:rFonts w:ascii="Arial" w:eastAsia="Times New Roman" w:hAnsi="Arial" w:cs="Angsana New"/>
      <w:spacing w:val="-10"/>
      <w:w w:val="95"/>
      <w:sz w:val="48"/>
      <w:szCs w:val="48"/>
      <w:lang w:eastAsia="zh-CN" w:bidi="th-TH"/>
    </w:rPr>
  </w:style>
  <w:style w:type="paragraph" w:customStyle="1" w:styleId="MESubheading">
    <w:name w:val="ME Sub heading"/>
    <w:basedOn w:val="Normal"/>
    <w:next w:val="Normal"/>
    <w:uiPriority w:val="6"/>
    <w:qFormat/>
    <w:pPr>
      <w:spacing w:before="200" w:after="200" w:line="400" w:lineRule="exact"/>
    </w:pPr>
    <w:rPr>
      <w:rFonts w:ascii="Arial" w:eastAsia="Times New Roman" w:hAnsi="Arial" w:cs="Angsana New"/>
      <w:spacing w:val="-10"/>
      <w:w w:val="95"/>
      <w:sz w:val="40"/>
      <w:szCs w:val="40"/>
      <w:lang w:eastAsia="zh-CN" w:bidi="th-TH"/>
    </w:rPr>
  </w:style>
  <w:style w:type="paragraph" w:customStyle="1" w:styleId="MEBasic3">
    <w:name w:val="ME Basic 3"/>
    <w:basedOn w:val="Normal"/>
    <w:uiPriority w:val="1"/>
    <w:qFormat/>
    <w:pPr>
      <w:numPr>
        <w:ilvl w:val="2"/>
        <w:numId w:val="2"/>
      </w:numPr>
      <w:spacing w:after="240"/>
      <w:outlineLvl w:val="2"/>
    </w:pPr>
  </w:style>
  <w:style w:type="paragraph" w:customStyle="1" w:styleId="MEBasic4">
    <w:name w:val="ME Basic 4"/>
    <w:basedOn w:val="Normal"/>
    <w:uiPriority w:val="1"/>
    <w:qFormat/>
    <w:pPr>
      <w:numPr>
        <w:ilvl w:val="3"/>
        <w:numId w:val="2"/>
      </w:numPr>
      <w:spacing w:after="240"/>
      <w:outlineLvl w:val="3"/>
    </w:pPr>
  </w:style>
  <w:style w:type="paragraph" w:customStyle="1" w:styleId="MEBasic5">
    <w:name w:val="ME Basic 5"/>
    <w:basedOn w:val="Normal"/>
    <w:uiPriority w:val="1"/>
    <w:qFormat/>
    <w:pPr>
      <w:numPr>
        <w:ilvl w:val="4"/>
        <w:numId w:val="2"/>
      </w:numPr>
      <w:spacing w:after="240"/>
      <w:outlineLvl w:val="4"/>
    </w:pPr>
  </w:style>
  <w:style w:type="paragraph" w:customStyle="1" w:styleId="MENoIndent1">
    <w:name w:val="ME NoIndent 1"/>
    <w:basedOn w:val="Normal"/>
    <w:uiPriority w:val="3"/>
    <w:qFormat/>
    <w:pPr>
      <w:numPr>
        <w:numId w:val="3"/>
      </w:numPr>
      <w:outlineLvl w:val="0"/>
    </w:pPr>
  </w:style>
  <w:style w:type="paragraph" w:customStyle="1" w:styleId="MENoIndent2">
    <w:name w:val="ME NoIndent 2"/>
    <w:basedOn w:val="Normal"/>
    <w:uiPriority w:val="3"/>
    <w:qFormat/>
    <w:pPr>
      <w:numPr>
        <w:ilvl w:val="1"/>
        <w:numId w:val="3"/>
      </w:numPr>
      <w:outlineLvl w:val="1"/>
    </w:pPr>
  </w:style>
  <w:style w:type="paragraph" w:customStyle="1" w:styleId="MENoIndent3">
    <w:name w:val="ME NoIndent 3"/>
    <w:basedOn w:val="Normal"/>
    <w:uiPriority w:val="3"/>
    <w:qFormat/>
    <w:pPr>
      <w:numPr>
        <w:ilvl w:val="2"/>
        <w:numId w:val="3"/>
      </w:numPr>
      <w:outlineLvl w:val="2"/>
    </w:pPr>
  </w:style>
  <w:style w:type="paragraph" w:customStyle="1" w:styleId="MENoIndent4">
    <w:name w:val="ME NoIndent 4"/>
    <w:basedOn w:val="Normal"/>
    <w:uiPriority w:val="3"/>
    <w:qFormat/>
    <w:pPr>
      <w:numPr>
        <w:ilvl w:val="3"/>
        <w:numId w:val="3"/>
      </w:numPr>
      <w:outlineLvl w:val="3"/>
    </w:pPr>
  </w:style>
  <w:style w:type="paragraph" w:customStyle="1" w:styleId="MENoIndent5">
    <w:name w:val="ME NoIndent 5"/>
    <w:basedOn w:val="Normal"/>
    <w:uiPriority w:val="3"/>
    <w:qFormat/>
    <w:pPr>
      <w:numPr>
        <w:ilvl w:val="4"/>
        <w:numId w:val="3"/>
      </w:numPr>
      <w:outlineLvl w:val="4"/>
    </w:pPr>
  </w:style>
  <w:style w:type="paragraph" w:customStyle="1" w:styleId="MENoIndent6">
    <w:name w:val="ME NoIndent 6"/>
    <w:basedOn w:val="Normal"/>
    <w:uiPriority w:val="3"/>
    <w:qFormat/>
    <w:pPr>
      <w:numPr>
        <w:ilvl w:val="5"/>
        <w:numId w:val="3"/>
      </w:numPr>
      <w:outlineLvl w:val="5"/>
    </w:pPr>
  </w:style>
  <w:style w:type="paragraph" w:customStyle="1" w:styleId="MENumber1">
    <w:name w:val="ME Number 1"/>
    <w:basedOn w:val="Normal"/>
    <w:uiPriority w:val="3"/>
    <w:qFormat/>
    <w:pPr>
      <w:numPr>
        <w:numId w:val="6"/>
      </w:numPr>
      <w:spacing w:after="240"/>
      <w:outlineLvl w:val="0"/>
    </w:pPr>
  </w:style>
  <w:style w:type="paragraph" w:customStyle="1" w:styleId="MENumber2">
    <w:name w:val="ME Number 2"/>
    <w:basedOn w:val="Normal"/>
    <w:uiPriority w:val="3"/>
    <w:qFormat/>
    <w:pPr>
      <w:numPr>
        <w:ilvl w:val="1"/>
        <w:numId w:val="6"/>
      </w:numPr>
      <w:spacing w:after="240"/>
      <w:outlineLvl w:val="1"/>
    </w:pPr>
  </w:style>
  <w:style w:type="paragraph" w:customStyle="1" w:styleId="MENumber3">
    <w:name w:val="ME Number 3"/>
    <w:basedOn w:val="Normal"/>
    <w:uiPriority w:val="3"/>
    <w:qFormat/>
    <w:pPr>
      <w:numPr>
        <w:ilvl w:val="2"/>
        <w:numId w:val="6"/>
      </w:numPr>
      <w:spacing w:after="240"/>
      <w:outlineLvl w:val="2"/>
    </w:pPr>
  </w:style>
  <w:style w:type="paragraph" w:customStyle="1" w:styleId="MENumber4">
    <w:name w:val="ME Number 4"/>
    <w:basedOn w:val="Normal"/>
    <w:uiPriority w:val="3"/>
    <w:qFormat/>
    <w:pPr>
      <w:numPr>
        <w:ilvl w:val="3"/>
        <w:numId w:val="6"/>
      </w:numPr>
      <w:spacing w:after="240"/>
      <w:outlineLvl w:val="3"/>
    </w:pPr>
  </w:style>
  <w:style w:type="paragraph" w:customStyle="1" w:styleId="MENumber5">
    <w:name w:val="ME Number 5"/>
    <w:basedOn w:val="Normal"/>
    <w:uiPriority w:val="3"/>
    <w:qFormat/>
    <w:pPr>
      <w:numPr>
        <w:ilvl w:val="4"/>
        <w:numId w:val="6"/>
      </w:numPr>
      <w:spacing w:after="240"/>
      <w:outlineLvl w:val="4"/>
    </w:pPr>
  </w:style>
  <w:style w:type="paragraph" w:customStyle="1" w:styleId="MENumber6">
    <w:name w:val="ME Number 6"/>
    <w:basedOn w:val="Normal"/>
    <w:uiPriority w:val="3"/>
    <w:qFormat/>
    <w:pPr>
      <w:numPr>
        <w:ilvl w:val="5"/>
        <w:numId w:val="6"/>
      </w:numPr>
      <w:spacing w:after="240"/>
      <w:outlineLvl w:val="5"/>
    </w:pPr>
  </w:style>
  <w:style w:type="paragraph" w:customStyle="1" w:styleId="Legal1">
    <w:name w:val="Legal 1"/>
    <w:basedOn w:val="Normal"/>
    <w:uiPriority w:val="5"/>
    <w:qFormat/>
    <w:pPr>
      <w:numPr>
        <w:numId w:val="5"/>
      </w:numPr>
      <w:spacing w:after="240"/>
      <w:outlineLvl w:val="0"/>
    </w:pPr>
  </w:style>
  <w:style w:type="paragraph" w:customStyle="1" w:styleId="Legal2">
    <w:name w:val="Legal 2"/>
    <w:basedOn w:val="Normal"/>
    <w:uiPriority w:val="5"/>
    <w:qFormat/>
    <w:pPr>
      <w:numPr>
        <w:ilvl w:val="1"/>
        <w:numId w:val="5"/>
      </w:numPr>
      <w:spacing w:after="240"/>
      <w:outlineLvl w:val="1"/>
    </w:pPr>
  </w:style>
  <w:style w:type="paragraph" w:customStyle="1" w:styleId="Legal3">
    <w:name w:val="Legal 3"/>
    <w:basedOn w:val="Normal"/>
    <w:uiPriority w:val="5"/>
    <w:qFormat/>
    <w:pPr>
      <w:numPr>
        <w:ilvl w:val="2"/>
        <w:numId w:val="5"/>
      </w:numPr>
      <w:spacing w:after="240"/>
      <w:outlineLvl w:val="2"/>
    </w:pPr>
  </w:style>
  <w:style w:type="paragraph" w:customStyle="1" w:styleId="Legal4">
    <w:name w:val="Legal 4"/>
    <w:basedOn w:val="Normal"/>
    <w:uiPriority w:val="5"/>
    <w:qFormat/>
    <w:pPr>
      <w:numPr>
        <w:ilvl w:val="3"/>
        <w:numId w:val="5"/>
      </w:numPr>
      <w:spacing w:after="240"/>
      <w:outlineLvl w:val="3"/>
    </w:pPr>
  </w:style>
  <w:style w:type="paragraph" w:customStyle="1" w:styleId="Legal5">
    <w:name w:val="Legal 5"/>
    <w:basedOn w:val="Normal"/>
    <w:uiPriority w:val="5"/>
    <w:qFormat/>
    <w:pPr>
      <w:numPr>
        <w:ilvl w:val="4"/>
        <w:numId w:val="5"/>
      </w:numPr>
      <w:spacing w:after="240"/>
      <w:outlineLvl w:val="4"/>
    </w:pPr>
  </w:style>
  <w:style w:type="paragraph" w:customStyle="1" w:styleId="Legal6">
    <w:name w:val="Legal 6"/>
    <w:basedOn w:val="Normal"/>
    <w:uiPriority w:val="5"/>
    <w:qFormat/>
    <w:pPr>
      <w:numPr>
        <w:ilvl w:val="5"/>
        <w:numId w:val="5"/>
      </w:numPr>
      <w:spacing w:after="240"/>
      <w:outlineLvl w:val="5"/>
    </w:pPr>
  </w:style>
  <w:style w:type="numbering" w:customStyle="1" w:styleId="MELegal">
    <w:name w:val="ME Legal"/>
    <w:uiPriority w:val="99"/>
    <w:pPr>
      <w:numPr>
        <w:numId w:val="7"/>
      </w:numPr>
    </w:pPr>
  </w:style>
  <w:style w:type="numbering" w:customStyle="1" w:styleId="MEBasic">
    <w:name w:val="ME Basic"/>
    <w:uiPriority w:val="99"/>
    <w:pPr>
      <w:numPr>
        <w:numId w:val="2"/>
      </w:numPr>
    </w:pPr>
  </w:style>
  <w:style w:type="numbering" w:customStyle="1" w:styleId="MENoIndent">
    <w:name w:val="ME NoIndent"/>
    <w:uiPriority w:val="99"/>
    <w:pPr>
      <w:numPr>
        <w:numId w:val="3"/>
      </w:numPr>
    </w:pPr>
  </w:style>
  <w:style w:type="numbering" w:customStyle="1" w:styleId="MENumber">
    <w:name w:val="ME Number"/>
    <w:uiPriority w:val="99"/>
    <w:pPr>
      <w:numPr>
        <w:numId w:val="4"/>
      </w:numPr>
    </w:pPr>
  </w:style>
  <w:style w:type="numbering" w:customStyle="1" w:styleId="Legal">
    <w:name w:val="Legal"/>
    <w:uiPriority w:val="99"/>
    <w:pPr>
      <w:numPr>
        <w:numId w:val="5"/>
      </w:numPr>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style31">
    <w:name w:val="style31"/>
    <w:basedOn w:val="DefaultParagraphFont"/>
  </w:style>
  <w:style w:type="character" w:styleId="Emphasis">
    <w:name w:val="Emphasis"/>
    <w:basedOn w:val="DefaultParagraphFont"/>
    <w:uiPriority w:val="20"/>
    <w:qFormat/>
    <w:rPr>
      <w:i/>
      <w:iC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rPr>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rsid w:val="00D72F07"/>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624254">
      <w:bodyDiv w:val="1"/>
      <w:marLeft w:val="0"/>
      <w:marRight w:val="0"/>
      <w:marTop w:val="0"/>
      <w:marBottom w:val="0"/>
      <w:divBdr>
        <w:top w:val="none" w:sz="0" w:space="0" w:color="auto"/>
        <w:left w:val="none" w:sz="0" w:space="0" w:color="auto"/>
        <w:bottom w:val="none" w:sz="0" w:space="0" w:color="auto"/>
        <w:right w:val="none" w:sz="0" w:space="0" w:color="auto"/>
      </w:divBdr>
      <w:divsChild>
        <w:div w:id="662971525">
          <w:marLeft w:val="150"/>
          <w:marRight w:val="150"/>
          <w:marTop w:val="225"/>
          <w:marBottom w:val="0"/>
          <w:divBdr>
            <w:top w:val="none" w:sz="0" w:space="0" w:color="auto"/>
            <w:left w:val="none" w:sz="0" w:space="0" w:color="auto"/>
            <w:bottom w:val="none" w:sz="0" w:space="0" w:color="auto"/>
            <w:right w:val="none" w:sz="0" w:space="0" w:color="auto"/>
          </w:divBdr>
          <w:divsChild>
            <w:div w:id="315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4558">
      <w:bodyDiv w:val="1"/>
      <w:marLeft w:val="0"/>
      <w:marRight w:val="0"/>
      <w:marTop w:val="0"/>
      <w:marBottom w:val="0"/>
      <w:divBdr>
        <w:top w:val="none" w:sz="0" w:space="0" w:color="auto"/>
        <w:left w:val="none" w:sz="0" w:space="0" w:color="auto"/>
        <w:bottom w:val="none" w:sz="0" w:space="0" w:color="auto"/>
        <w:right w:val="none" w:sz="0" w:space="0" w:color="auto"/>
      </w:divBdr>
      <w:divsChild>
        <w:div w:id="894241899">
          <w:marLeft w:val="0"/>
          <w:marRight w:val="0"/>
          <w:marTop w:val="0"/>
          <w:marBottom w:val="0"/>
          <w:divBdr>
            <w:top w:val="none" w:sz="0" w:space="0" w:color="auto"/>
            <w:left w:val="none" w:sz="0" w:space="0" w:color="auto"/>
            <w:bottom w:val="none" w:sz="0" w:space="0" w:color="auto"/>
            <w:right w:val="none" w:sz="0" w:space="0" w:color="auto"/>
          </w:divBdr>
          <w:divsChild>
            <w:div w:id="1156529835">
              <w:marLeft w:val="0"/>
              <w:marRight w:val="0"/>
              <w:marTop w:val="0"/>
              <w:marBottom w:val="0"/>
              <w:divBdr>
                <w:top w:val="none" w:sz="0" w:space="0" w:color="auto"/>
                <w:left w:val="none" w:sz="0" w:space="0" w:color="auto"/>
                <w:bottom w:val="none" w:sz="0" w:space="0" w:color="auto"/>
                <w:right w:val="none" w:sz="0" w:space="0" w:color="auto"/>
              </w:divBdr>
              <w:divsChild>
                <w:div w:id="901523711">
                  <w:marLeft w:val="0"/>
                  <w:marRight w:val="0"/>
                  <w:marTop w:val="0"/>
                  <w:marBottom w:val="0"/>
                  <w:divBdr>
                    <w:top w:val="none" w:sz="0" w:space="0" w:color="auto"/>
                    <w:left w:val="none" w:sz="0" w:space="0" w:color="auto"/>
                    <w:bottom w:val="none" w:sz="0" w:space="0" w:color="auto"/>
                    <w:right w:val="none" w:sz="0" w:space="0" w:color="auto"/>
                  </w:divBdr>
                  <w:divsChild>
                    <w:div w:id="1579440145">
                      <w:marLeft w:val="0"/>
                      <w:marRight w:val="0"/>
                      <w:marTop w:val="0"/>
                      <w:marBottom w:val="0"/>
                      <w:divBdr>
                        <w:top w:val="none" w:sz="0" w:space="0" w:color="auto"/>
                        <w:left w:val="none" w:sz="0" w:space="0" w:color="auto"/>
                        <w:bottom w:val="none" w:sz="0" w:space="0" w:color="auto"/>
                        <w:right w:val="none" w:sz="0" w:space="0" w:color="auto"/>
                      </w:divBdr>
                      <w:divsChild>
                        <w:div w:id="1788161196">
                          <w:marLeft w:val="0"/>
                          <w:marRight w:val="0"/>
                          <w:marTop w:val="0"/>
                          <w:marBottom w:val="0"/>
                          <w:divBdr>
                            <w:top w:val="single" w:sz="4" w:space="0" w:color="828282"/>
                            <w:left w:val="single" w:sz="4" w:space="0" w:color="828282"/>
                            <w:bottom w:val="single" w:sz="4" w:space="0" w:color="828282"/>
                            <w:right w:val="single" w:sz="4" w:space="0" w:color="828282"/>
                          </w:divBdr>
                          <w:divsChild>
                            <w:div w:id="179972625">
                              <w:marLeft w:val="0"/>
                              <w:marRight w:val="0"/>
                              <w:marTop w:val="0"/>
                              <w:marBottom w:val="0"/>
                              <w:divBdr>
                                <w:top w:val="none" w:sz="0" w:space="0" w:color="auto"/>
                                <w:left w:val="none" w:sz="0" w:space="0" w:color="auto"/>
                                <w:bottom w:val="none" w:sz="0" w:space="0" w:color="auto"/>
                                <w:right w:val="none" w:sz="0" w:space="0" w:color="auto"/>
                              </w:divBdr>
                              <w:divsChild>
                                <w:div w:id="2065326127">
                                  <w:marLeft w:val="0"/>
                                  <w:marRight w:val="0"/>
                                  <w:marTop w:val="0"/>
                                  <w:marBottom w:val="0"/>
                                  <w:divBdr>
                                    <w:top w:val="none" w:sz="0" w:space="0" w:color="auto"/>
                                    <w:left w:val="none" w:sz="0" w:space="0" w:color="auto"/>
                                    <w:bottom w:val="none" w:sz="0" w:space="0" w:color="auto"/>
                                    <w:right w:val="none" w:sz="0" w:space="0" w:color="auto"/>
                                  </w:divBdr>
                                  <w:divsChild>
                                    <w:div w:id="577059747">
                                      <w:marLeft w:val="0"/>
                                      <w:marRight w:val="0"/>
                                      <w:marTop w:val="0"/>
                                      <w:marBottom w:val="0"/>
                                      <w:divBdr>
                                        <w:top w:val="none" w:sz="0" w:space="0" w:color="auto"/>
                                        <w:left w:val="none" w:sz="0" w:space="0" w:color="auto"/>
                                        <w:bottom w:val="none" w:sz="0" w:space="0" w:color="auto"/>
                                        <w:right w:val="none" w:sz="0" w:space="0" w:color="auto"/>
                                      </w:divBdr>
                                      <w:divsChild>
                                        <w:div w:id="1666545403">
                                          <w:marLeft w:val="0"/>
                                          <w:marRight w:val="0"/>
                                          <w:marTop w:val="0"/>
                                          <w:marBottom w:val="0"/>
                                          <w:divBdr>
                                            <w:top w:val="none" w:sz="0" w:space="0" w:color="auto"/>
                                            <w:left w:val="none" w:sz="0" w:space="0" w:color="auto"/>
                                            <w:bottom w:val="none" w:sz="0" w:space="0" w:color="auto"/>
                                            <w:right w:val="none" w:sz="0" w:space="0" w:color="auto"/>
                                          </w:divBdr>
                                          <w:divsChild>
                                            <w:div w:id="753626879">
                                              <w:marLeft w:val="0"/>
                                              <w:marRight w:val="0"/>
                                              <w:marTop w:val="0"/>
                                              <w:marBottom w:val="0"/>
                                              <w:divBdr>
                                                <w:top w:val="none" w:sz="0" w:space="0" w:color="auto"/>
                                                <w:left w:val="none" w:sz="0" w:space="0" w:color="auto"/>
                                                <w:bottom w:val="none" w:sz="0" w:space="0" w:color="auto"/>
                                                <w:right w:val="none" w:sz="0" w:space="0" w:color="auto"/>
                                              </w:divBdr>
                                              <w:divsChild>
                                                <w:div w:id="106452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9813261">
      <w:bodyDiv w:val="1"/>
      <w:marLeft w:val="0"/>
      <w:marRight w:val="0"/>
      <w:marTop w:val="0"/>
      <w:marBottom w:val="0"/>
      <w:divBdr>
        <w:top w:val="none" w:sz="0" w:space="0" w:color="auto"/>
        <w:left w:val="none" w:sz="0" w:space="0" w:color="auto"/>
        <w:bottom w:val="none" w:sz="0" w:space="0" w:color="auto"/>
        <w:right w:val="none" w:sz="0" w:space="0" w:color="auto"/>
      </w:divBdr>
      <w:divsChild>
        <w:div w:id="657802415">
          <w:marLeft w:val="0"/>
          <w:marRight w:val="0"/>
          <w:marTop w:val="0"/>
          <w:marBottom w:val="0"/>
          <w:divBdr>
            <w:top w:val="none" w:sz="0" w:space="0" w:color="auto"/>
            <w:left w:val="none" w:sz="0" w:space="0" w:color="auto"/>
            <w:bottom w:val="none" w:sz="0" w:space="0" w:color="auto"/>
            <w:right w:val="none" w:sz="0" w:space="0" w:color="auto"/>
          </w:divBdr>
          <w:divsChild>
            <w:div w:id="915894988">
              <w:marLeft w:val="0"/>
              <w:marRight w:val="0"/>
              <w:marTop w:val="0"/>
              <w:marBottom w:val="0"/>
              <w:divBdr>
                <w:top w:val="none" w:sz="0" w:space="0" w:color="auto"/>
                <w:left w:val="none" w:sz="0" w:space="0" w:color="auto"/>
                <w:bottom w:val="none" w:sz="0" w:space="0" w:color="auto"/>
                <w:right w:val="none" w:sz="0" w:space="0" w:color="auto"/>
              </w:divBdr>
              <w:divsChild>
                <w:div w:id="1148280840">
                  <w:marLeft w:val="0"/>
                  <w:marRight w:val="0"/>
                  <w:marTop w:val="0"/>
                  <w:marBottom w:val="0"/>
                  <w:divBdr>
                    <w:top w:val="none" w:sz="0" w:space="0" w:color="auto"/>
                    <w:left w:val="none" w:sz="0" w:space="0" w:color="auto"/>
                    <w:bottom w:val="none" w:sz="0" w:space="0" w:color="auto"/>
                    <w:right w:val="none" w:sz="0" w:space="0" w:color="auto"/>
                  </w:divBdr>
                  <w:divsChild>
                    <w:div w:id="1220870459">
                      <w:marLeft w:val="0"/>
                      <w:marRight w:val="0"/>
                      <w:marTop w:val="0"/>
                      <w:marBottom w:val="0"/>
                      <w:divBdr>
                        <w:top w:val="none" w:sz="0" w:space="0" w:color="auto"/>
                        <w:left w:val="none" w:sz="0" w:space="0" w:color="auto"/>
                        <w:bottom w:val="none" w:sz="0" w:space="0" w:color="auto"/>
                        <w:right w:val="none" w:sz="0" w:space="0" w:color="auto"/>
                      </w:divBdr>
                      <w:divsChild>
                        <w:div w:id="898055137">
                          <w:marLeft w:val="0"/>
                          <w:marRight w:val="0"/>
                          <w:marTop w:val="0"/>
                          <w:marBottom w:val="0"/>
                          <w:divBdr>
                            <w:top w:val="none" w:sz="0" w:space="0" w:color="auto"/>
                            <w:left w:val="none" w:sz="0" w:space="0" w:color="auto"/>
                            <w:bottom w:val="none" w:sz="0" w:space="0" w:color="auto"/>
                            <w:right w:val="none" w:sz="0" w:space="0" w:color="auto"/>
                          </w:divBdr>
                          <w:divsChild>
                            <w:div w:id="1302544093">
                              <w:marLeft w:val="0"/>
                              <w:marRight w:val="0"/>
                              <w:marTop w:val="0"/>
                              <w:marBottom w:val="0"/>
                              <w:divBdr>
                                <w:top w:val="none" w:sz="0" w:space="0" w:color="auto"/>
                                <w:left w:val="none" w:sz="0" w:space="0" w:color="auto"/>
                                <w:bottom w:val="none" w:sz="0" w:space="0" w:color="auto"/>
                                <w:right w:val="none" w:sz="0" w:space="0" w:color="auto"/>
                              </w:divBdr>
                              <w:divsChild>
                                <w:div w:id="1671905800">
                                  <w:marLeft w:val="0"/>
                                  <w:marRight w:val="0"/>
                                  <w:marTop w:val="0"/>
                                  <w:marBottom w:val="0"/>
                                  <w:divBdr>
                                    <w:top w:val="none" w:sz="0" w:space="0" w:color="auto"/>
                                    <w:left w:val="none" w:sz="0" w:space="0" w:color="auto"/>
                                    <w:bottom w:val="none" w:sz="0" w:space="0" w:color="auto"/>
                                    <w:right w:val="none" w:sz="0" w:space="0" w:color="auto"/>
                                  </w:divBdr>
                                  <w:divsChild>
                                    <w:div w:id="1098720097">
                                      <w:marLeft w:val="0"/>
                                      <w:marRight w:val="0"/>
                                      <w:marTop w:val="0"/>
                                      <w:marBottom w:val="0"/>
                                      <w:divBdr>
                                        <w:top w:val="none" w:sz="0" w:space="0" w:color="auto"/>
                                        <w:left w:val="none" w:sz="0" w:space="0" w:color="auto"/>
                                        <w:bottom w:val="none" w:sz="0" w:space="0" w:color="auto"/>
                                        <w:right w:val="none" w:sz="0" w:space="0" w:color="auto"/>
                                      </w:divBdr>
                                      <w:divsChild>
                                        <w:div w:id="14734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my.lawlex.com.au/default.asp?cid=138542&amp;itid=0&amp;ntid=0&amp;nid=&amp;alpha=&amp;alphaid=&amp;jurid=&amp;ihl=&amp;nhl=&amp;fp=&amp;top=exp&amp;nav=col&amp;pact=coredoc"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nergymadeeasy.gov.au/" TargetMode="External"/><Relationship Id="rId1" Type="http://schemas.openxmlformats.org/officeDocument/2006/relationships/hyperlink" Target="http://www.aer.gov.au/node/9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 Se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9C9FA3-D28F-4378-9E25-6D873C9E3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BEA5D21B</Template>
  <TotalTime>0</TotalTime>
  <Pages>4</Pages>
  <Words>714</Words>
  <Characters>4070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MinterEllison</Company>
  <LinksUpToDate>false</LinksUpToDate>
  <CharactersWithSpaces>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MinterEllison</dc:creator>
  <cp:lastModifiedBy>Cindy Oesep</cp:lastModifiedBy>
  <cp:revision>2</cp:revision>
  <cp:lastPrinted>2019-03-11T02:15:00Z</cp:lastPrinted>
  <dcterms:created xsi:type="dcterms:W3CDTF">2019-05-23T00:54:00Z</dcterms:created>
  <dcterms:modified xsi:type="dcterms:W3CDTF">2019-05-23T00:54:00Z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Type">
    <vt:lpwstr>1</vt:lpwstr>
  </property>
  <property fmtid="{D5CDD505-2E9C-101B-9397-08002B2CF9AE}" pid="3" name="DocumentID">
    <vt:lpwstr>ME_158336443_1</vt:lpwstr>
  </property>
  <property fmtid="{D5CDD505-2E9C-101B-9397-08002B2CF9AE}" pid="4" name="Custom1">
    <vt:lpwstr>1245603</vt:lpwstr>
  </property>
</Properties>
</file>